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59" w:rsidRDefault="008C1159" w:rsidP="008C1159">
      <w:r>
        <w:t>Traduzione a cura di UNA Cremona (</w:t>
      </w:r>
      <w:proofErr w:type="spellStart"/>
      <w:r>
        <w:t>Uomo-Natura-Animali</w:t>
      </w:r>
      <w:proofErr w:type="spellEnd"/>
      <w:r>
        <w:t xml:space="preserve">) dell’articolo </w:t>
      </w:r>
      <w:r w:rsidRPr="008C1159">
        <w:rPr>
          <w:rStyle w:val="Enfasigrassetto"/>
          <w:rFonts w:ascii="Georgia" w:hAnsi="Georgia"/>
          <w:color w:val="333333"/>
          <w:sz w:val="24"/>
          <w:szCs w:val="36"/>
          <w:bdr w:val="none" w:sz="0" w:space="0" w:color="auto" w:frame="1"/>
        </w:rPr>
        <w:t xml:space="preserve">“The </w:t>
      </w:r>
      <w:proofErr w:type="spellStart"/>
      <w:r w:rsidRPr="008C1159">
        <w:rPr>
          <w:rStyle w:val="Enfasigrassetto"/>
          <w:rFonts w:ascii="Georgia" w:hAnsi="Georgia"/>
          <w:color w:val="333333"/>
          <w:sz w:val="24"/>
          <w:szCs w:val="36"/>
          <w:bdr w:val="none" w:sz="0" w:space="0" w:color="auto" w:frame="1"/>
        </w:rPr>
        <w:t>use</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of</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beagle</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dogs</w:t>
      </w:r>
      <w:proofErr w:type="spellEnd"/>
      <w:r w:rsidRPr="008C1159">
        <w:rPr>
          <w:rStyle w:val="Enfasigrassetto"/>
          <w:rFonts w:ascii="Georgia" w:hAnsi="Georgia"/>
          <w:color w:val="333333"/>
          <w:sz w:val="24"/>
          <w:szCs w:val="36"/>
          <w:bdr w:val="none" w:sz="0" w:space="0" w:color="auto" w:frame="1"/>
        </w:rPr>
        <w:t xml:space="preserve"> in </w:t>
      </w:r>
      <w:proofErr w:type="spellStart"/>
      <w:r w:rsidRPr="008C1159">
        <w:rPr>
          <w:rStyle w:val="Enfasigrassetto"/>
          <w:rFonts w:ascii="Georgia" w:hAnsi="Georgia"/>
          <w:color w:val="333333"/>
          <w:sz w:val="24"/>
          <w:szCs w:val="36"/>
          <w:bdr w:val="none" w:sz="0" w:space="0" w:color="auto" w:frame="1"/>
        </w:rPr>
        <w:t>research</w:t>
      </w:r>
      <w:proofErr w:type="spellEnd"/>
      <w:r w:rsidRPr="008C1159">
        <w:rPr>
          <w:rStyle w:val="Enfasigrassetto"/>
          <w:rFonts w:ascii="Georgia" w:hAnsi="Georgia"/>
          <w:color w:val="333333"/>
          <w:sz w:val="24"/>
          <w:szCs w:val="36"/>
          <w:bdr w:val="none" w:sz="0" w:space="0" w:color="auto" w:frame="1"/>
        </w:rPr>
        <w:t xml:space="preserve"> and </w:t>
      </w:r>
      <w:proofErr w:type="spellStart"/>
      <w:r w:rsidRPr="008C1159">
        <w:rPr>
          <w:rStyle w:val="Enfasigrassetto"/>
          <w:rFonts w:ascii="Georgia" w:hAnsi="Georgia"/>
          <w:color w:val="333333"/>
          <w:sz w:val="24"/>
          <w:szCs w:val="36"/>
          <w:bdr w:val="none" w:sz="0" w:space="0" w:color="auto" w:frame="1"/>
        </w:rPr>
        <w:t>testing</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of</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human</w:t>
      </w:r>
      <w:proofErr w:type="spellEnd"/>
      <w:r w:rsidRPr="008C1159">
        <w:rPr>
          <w:rStyle w:val="Enfasigrassetto"/>
          <w:rFonts w:ascii="Georgia" w:hAnsi="Georgia"/>
          <w:color w:val="333333"/>
          <w:sz w:val="24"/>
          <w:szCs w:val="36"/>
          <w:bdr w:val="none" w:sz="0" w:space="0" w:color="auto" w:frame="1"/>
        </w:rPr>
        <w:t xml:space="preserve"> </w:t>
      </w:r>
      <w:proofErr w:type="spellStart"/>
      <w:r w:rsidRPr="008C1159">
        <w:rPr>
          <w:rStyle w:val="Enfasigrassetto"/>
          <w:rFonts w:ascii="Georgia" w:hAnsi="Georgia"/>
          <w:color w:val="333333"/>
          <w:sz w:val="24"/>
          <w:szCs w:val="36"/>
          <w:bdr w:val="none" w:sz="0" w:space="0" w:color="auto" w:frame="1"/>
        </w:rPr>
        <w:t>drugs</w:t>
      </w:r>
      <w:proofErr w:type="spellEnd"/>
      <w:r>
        <w:rPr>
          <w:rStyle w:val="Enfasigrassetto"/>
          <w:rFonts w:ascii="Georgia" w:hAnsi="Georgia"/>
          <w:color w:val="333333"/>
          <w:sz w:val="24"/>
          <w:szCs w:val="36"/>
          <w:bdr w:val="none" w:sz="0" w:space="0" w:color="auto" w:frame="1"/>
        </w:rPr>
        <w:t>”</w:t>
      </w:r>
      <w:r w:rsidR="006063E5">
        <w:rPr>
          <w:rStyle w:val="Enfasigrassetto"/>
          <w:rFonts w:ascii="Georgia" w:hAnsi="Georgia"/>
          <w:color w:val="333333"/>
          <w:sz w:val="24"/>
          <w:szCs w:val="36"/>
          <w:bdr w:val="none" w:sz="0" w:space="0" w:color="auto" w:frame="1"/>
        </w:rPr>
        <w:t xml:space="preserve">, </w:t>
      </w:r>
      <w:hyperlink r:id="rId4" w:anchor=".UUjV8BxhWSq" w:history="1">
        <w:r>
          <w:rPr>
            <w:rStyle w:val="Collegamentoipertestuale"/>
          </w:rPr>
          <w:t>http://savetheharlanbeagles.com/andre-menache-on-animal-testing/#.UUjV8BxhWSq</w:t>
        </w:r>
      </w:hyperlink>
    </w:p>
    <w:p w:rsidR="006063E5" w:rsidRDefault="006063E5" w:rsidP="008C1159">
      <w:pPr>
        <w:pBdr>
          <w:bottom w:val="single" w:sz="6" w:space="1" w:color="auto"/>
        </w:pBdr>
      </w:pPr>
    </w:p>
    <w:p w:rsidR="006063E5" w:rsidRDefault="006063E5" w:rsidP="008C1159"/>
    <w:p w:rsidR="008C1159" w:rsidRPr="006063E5" w:rsidRDefault="008C1159" w:rsidP="006063E5">
      <w:pPr>
        <w:pStyle w:val="Titolo1"/>
        <w:shd w:val="clear" w:color="auto" w:fill="FFFFFF"/>
        <w:spacing w:before="0" w:beforeAutospacing="0" w:after="0" w:afterAutospacing="0"/>
        <w:jc w:val="both"/>
        <w:textAlignment w:val="baseline"/>
        <w:rPr>
          <w:rFonts w:asciiTheme="minorHAnsi" w:hAnsiTheme="minorHAnsi" w:cs="Arial"/>
          <w:color w:val="000000"/>
          <w:sz w:val="28"/>
          <w:szCs w:val="32"/>
        </w:rPr>
      </w:pPr>
      <w:proofErr w:type="spellStart"/>
      <w:r w:rsidRPr="006063E5">
        <w:rPr>
          <w:rFonts w:asciiTheme="minorHAnsi" w:hAnsiTheme="minorHAnsi" w:cs="Arial"/>
          <w:color w:val="000000"/>
          <w:sz w:val="28"/>
          <w:szCs w:val="32"/>
        </w:rPr>
        <w:t>Andre</w:t>
      </w:r>
      <w:proofErr w:type="spellEnd"/>
      <w:r w:rsidRPr="006063E5">
        <w:rPr>
          <w:rFonts w:asciiTheme="minorHAnsi" w:hAnsiTheme="minorHAnsi" w:cs="Arial"/>
          <w:color w:val="000000"/>
          <w:sz w:val="28"/>
          <w:szCs w:val="32"/>
        </w:rPr>
        <w:t xml:space="preserve"> </w:t>
      </w:r>
      <w:proofErr w:type="spellStart"/>
      <w:r w:rsidRPr="006063E5">
        <w:rPr>
          <w:rFonts w:asciiTheme="minorHAnsi" w:hAnsiTheme="minorHAnsi" w:cs="Arial"/>
          <w:color w:val="000000"/>
          <w:sz w:val="28"/>
          <w:szCs w:val="32"/>
        </w:rPr>
        <w:t>Menache</w:t>
      </w:r>
      <w:proofErr w:type="spellEnd"/>
      <w:r w:rsidRPr="006063E5">
        <w:rPr>
          <w:rFonts w:asciiTheme="minorHAnsi" w:hAnsiTheme="minorHAnsi" w:cs="Arial"/>
          <w:color w:val="000000"/>
          <w:sz w:val="28"/>
          <w:szCs w:val="32"/>
        </w:rPr>
        <w:t xml:space="preserve"> sull’uso di </w:t>
      </w:r>
      <w:proofErr w:type="spellStart"/>
      <w:r w:rsidRPr="006063E5">
        <w:rPr>
          <w:rFonts w:asciiTheme="minorHAnsi" w:hAnsiTheme="minorHAnsi" w:cs="Arial"/>
          <w:color w:val="000000"/>
          <w:sz w:val="28"/>
          <w:szCs w:val="32"/>
        </w:rPr>
        <w:t>beagles</w:t>
      </w:r>
      <w:proofErr w:type="spellEnd"/>
      <w:r w:rsidRPr="006063E5">
        <w:rPr>
          <w:rFonts w:asciiTheme="minorHAnsi" w:hAnsiTheme="minorHAnsi" w:cs="Arial"/>
          <w:color w:val="000000"/>
          <w:sz w:val="28"/>
          <w:szCs w:val="32"/>
        </w:rPr>
        <w:t xml:space="preserve"> in esperimenti</w:t>
      </w:r>
    </w:p>
    <w:p w:rsidR="008C1159" w:rsidRPr="006063E5" w:rsidRDefault="008C1159" w:rsidP="006063E5">
      <w:pPr>
        <w:pStyle w:val="NormaleWeb"/>
        <w:spacing w:before="0" w:beforeAutospacing="0" w:after="0" w:afterAutospacing="0"/>
        <w:jc w:val="center"/>
        <w:textAlignment w:val="baseline"/>
        <w:rPr>
          <w:rFonts w:asciiTheme="minorHAnsi" w:hAnsiTheme="minorHAnsi"/>
          <w:color w:val="000000" w:themeColor="text1"/>
          <w:u w:val="single"/>
        </w:rPr>
      </w:pPr>
      <w:r w:rsidRPr="006063E5">
        <w:rPr>
          <w:rStyle w:val="Enfasigrassetto"/>
          <w:rFonts w:asciiTheme="minorHAnsi" w:hAnsiTheme="minorHAnsi"/>
          <w:color w:val="000000" w:themeColor="text1"/>
          <w:sz w:val="36"/>
          <w:szCs w:val="36"/>
          <w:u w:val="single"/>
          <w:bdr w:val="none" w:sz="0" w:space="0" w:color="auto" w:frame="1"/>
        </w:rPr>
        <w:t xml:space="preserve">L’uso di cani </w:t>
      </w:r>
      <w:proofErr w:type="spellStart"/>
      <w:r w:rsidRPr="006063E5">
        <w:rPr>
          <w:rStyle w:val="Enfasigrassetto"/>
          <w:rFonts w:asciiTheme="minorHAnsi" w:hAnsiTheme="minorHAnsi"/>
          <w:color w:val="000000" w:themeColor="text1"/>
          <w:sz w:val="36"/>
          <w:szCs w:val="36"/>
          <w:u w:val="single"/>
          <w:bdr w:val="none" w:sz="0" w:space="0" w:color="auto" w:frame="1"/>
        </w:rPr>
        <w:t>beagles</w:t>
      </w:r>
      <w:proofErr w:type="spellEnd"/>
      <w:r w:rsidRPr="006063E5">
        <w:rPr>
          <w:rStyle w:val="Enfasigrassetto"/>
          <w:rFonts w:asciiTheme="minorHAnsi" w:hAnsiTheme="minorHAnsi"/>
          <w:color w:val="000000" w:themeColor="text1"/>
          <w:sz w:val="36"/>
          <w:szCs w:val="36"/>
          <w:u w:val="single"/>
          <w:bdr w:val="none" w:sz="0" w:space="0" w:color="auto" w:frame="1"/>
        </w:rPr>
        <w:t xml:space="preserve"> nella ricerca e nei test per farmaci umani</w:t>
      </w:r>
    </w:p>
    <w:p w:rsidR="008C1159" w:rsidRPr="00456432" w:rsidRDefault="008C1159" w:rsidP="006063E5">
      <w:pPr>
        <w:pStyle w:val="NormaleWeb"/>
        <w:spacing w:before="0" w:beforeAutospacing="0" w:after="0" w:afterAutospacing="0"/>
        <w:jc w:val="both"/>
        <w:textAlignment w:val="baseline"/>
        <w:rPr>
          <w:rFonts w:asciiTheme="minorHAnsi" w:hAnsiTheme="minorHAnsi"/>
        </w:rPr>
      </w:pPr>
      <w:r w:rsidRPr="00456432">
        <w:rPr>
          <w:rFonts w:asciiTheme="minorHAnsi" w:hAnsiTheme="minorHAnsi"/>
          <w:bdr w:val="none" w:sz="0" w:space="0" w:color="auto" w:frame="1"/>
        </w:rPr>
        <w:t>Di</w:t>
      </w:r>
      <w:r w:rsidRPr="00456432">
        <w:rPr>
          <w:rStyle w:val="apple-converted-space"/>
          <w:rFonts w:asciiTheme="minorHAnsi" w:hAnsiTheme="minorHAnsi"/>
          <w:bdr w:val="none" w:sz="0" w:space="0" w:color="auto" w:frame="1"/>
        </w:rPr>
        <w:t> </w:t>
      </w:r>
      <w:proofErr w:type="spellStart"/>
      <w:r w:rsidRPr="00456432">
        <w:rPr>
          <w:rStyle w:val="Enfasigrassetto"/>
          <w:rFonts w:asciiTheme="minorHAnsi" w:hAnsiTheme="minorHAnsi"/>
          <w:bdr w:val="none" w:sz="0" w:space="0" w:color="auto" w:frame="1"/>
        </w:rPr>
        <w:t>Andre</w:t>
      </w:r>
      <w:proofErr w:type="spellEnd"/>
      <w:r w:rsidRPr="00456432">
        <w:rPr>
          <w:rStyle w:val="Enfasigrassetto"/>
          <w:rFonts w:asciiTheme="minorHAnsi" w:hAnsiTheme="minorHAnsi"/>
          <w:bdr w:val="none" w:sz="0" w:space="0" w:color="auto" w:frame="1"/>
        </w:rPr>
        <w:t xml:space="preserve"> </w:t>
      </w:r>
      <w:proofErr w:type="spellStart"/>
      <w:r w:rsidRPr="00456432">
        <w:rPr>
          <w:rStyle w:val="Enfasigrassetto"/>
          <w:rFonts w:asciiTheme="minorHAnsi" w:hAnsiTheme="minorHAnsi"/>
          <w:bdr w:val="none" w:sz="0" w:space="0" w:color="auto" w:frame="1"/>
        </w:rPr>
        <w:t>Menache</w:t>
      </w:r>
      <w:proofErr w:type="spellEnd"/>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Prego rileggere il titolo. Come chirurgo veterinario, io trovo questo titolo molto strano. Perché mai i cani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xml:space="preserve"> sono usati per vedere cosa i prodotti farmaceutici producono </w:t>
      </w:r>
      <w:proofErr w:type="spellStart"/>
      <w:r w:rsidRPr="00456432">
        <w:rPr>
          <w:rFonts w:asciiTheme="minorHAnsi" w:hAnsiTheme="minorHAnsi"/>
          <w:bdr w:val="none" w:sz="0" w:space="0" w:color="auto" w:frame="1"/>
        </w:rPr>
        <w:t>nell</w:t>
      </w:r>
      <w:proofErr w:type="spellEnd"/>
      <w:r w:rsidRPr="00456432">
        <w:rPr>
          <w:rFonts w:asciiTheme="minorHAnsi" w:hAnsiTheme="minorHAnsi"/>
          <w:bdr w:val="none" w:sz="0" w:space="0" w:color="auto" w:frame="1"/>
        </w:rPr>
        <w:t xml:space="preserve"> persone? Io non userei certamente mai un pappagallo per testare medicinali per cavalli, quindi perché usare cani (o ogni altro animale) per testare farmaci umani? La risposta più breve è che la legge lo richiede. Le leggi del Regno Unito e dell’Unione Europea richiedono che i prodotti farmaceutici siano testati su un roditore (di solito un ratto) e un non-roditore (di solito un cane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xml:space="preserve">) prima che le prove cliniche su umani possano cominciare. </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Ciò potrebbe sembrare un’idea ragionevole ad alcune persone. Certamente sembrava un principio ragionevole 65 anni fa quando le leggi che governano i test per i medicinali e le prove cliniche furono per la prima volta formulate. Dopo tutto, ratti, cani e persone che hanno tutti due occhi, due orecchie, un cervello, un cuore e così via. Gli animali sono simili alle persone. Ma quanto </w:t>
      </w:r>
      <w:proofErr w:type="spellStart"/>
      <w:r w:rsidRPr="00456432">
        <w:rPr>
          <w:rFonts w:asciiTheme="minorHAnsi" w:hAnsiTheme="minorHAnsi"/>
          <w:bdr w:val="none" w:sz="0" w:space="0" w:color="auto" w:frame="1"/>
        </w:rPr>
        <w:t>scientific</w:t>
      </w:r>
      <w:proofErr w:type="spellEnd"/>
      <w:r w:rsidRPr="00456432">
        <w:rPr>
          <w:rFonts w:asciiTheme="minorHAnsi" w:hAnsiTheme="minorHAnsi"/>
          <w:bdr w:val="none" w:sz="0" w:space="0" w:color="auto" w:frame="1"/>
        </w:rPr>
        <w:t xml:space="preserve"> è il termine “simile” quando si consideri che gli umani condividono il 50 percento del loro DNA con una banana? Umani, ratti e cani condividono il gene per la coda. Tuttavia, nelle persone il gene non è attivato, mentre nei ratti e nei cani il gene è attivato. Noi sappiamo che i topi e le persone condividono all’incirca gli stessi 23.000 geni, e allora? I topi non assomigliano alle persone. Contano meno i geni che condividiamo e di più cosa questi geni fanno e come essi fanno sistema e interagiscono gli uni con gli altri. Questo aiuta a spiegare perché un sistema complesso (il cane o il topo) non possono essere predittivi di ciò che accadrà in un altro sistema complesso (quello umano).</w:t>
      </w:r>
      <w:r w:rsidRPr="00456432">
        <w:rPr>
          <w:rFonts w:asciiTheme="minorHAnsi" w:hAnsiTheme="minorHAnsi"/>
          <w:bdr w:val="none" w:sz="0" w:space="0" w:color="auto" w:frame="1"/>
        </w:rPr>
        <w:br/>
        <w:t xml:space="preserve">In altre parole, la scienza ha fatto passi avanti nei 65 anni da quando le prime leggi furono scritte, ma le leggi non sono rimaste al passo con la scienza (1). Per esempio, noi ora conosciamo il genoma umano, che non conoscevamo 65 anni fa. Questa nuova conoscenza sommata al nostro sapere in continuo ampliamento circa il modo in cui i geni lavorano, mostrano come  i test su animali siano del tutto fuori luogo nel 21° secolo. I dati pubblicati dall’industria farmaceutica confermano ciò. </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La possibilità che un test su animale sia correttamente predittivo di come un umano risponderà ad un farmaco o ad una sostanza chimica è quasi affidabile quanto il lancio di una monetina. Wow, è quasi un’accusa. Sì, in effetti, e ci sono numerose prove scientifiche pubblicate a confermare quest’affermazione. Vedere i riferimenti da 2 a 19 sotto.</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Vediamo un esempio di vita reale di ciò di cui stiamo parlando. Nelle persone i danni al fegato indotti da farmaci sono la ragione citata più di frequente per il ritiro dal mercato di un farmaco approvato, ed ha anche rilevano per più del 50 percento di insufficienza epatica acuta negli Stati Uniti (20). Le cifre per il Regno Unito sono all’incirca le stesse, dove la tossicità per il fegato umano è indicata come la seconda più comune causa di fallimento dei farmaci per effetti avversi nelle prove cliniche di potenziali farmaci (2, 21).</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In altre parole, i danni al fegato alle persone sono causati da farmaci dopo che essi sono stati testati su ratti e cani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come richiesto dalla legge. Secondo i dati dell’industria farmaceutica, gli esperimenti su ratti e cani rivelano danni al fegato circa nel 50% dei casi (22). Questo è esattamente lo stesso risultato che ci si aspetta dal lancio di una monetina.</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lastRenderedPageBreak/>
        <w:t xml:space="preserve">Potrebbe andare peggio di così? Sì, va peggio. I risultati di test di farmaci possono essere diversi su ratti maschi e cani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xml:space="preserve"> maschi rispetto alle femmine, a causa delle differenze nella funzione epatica in maschi e femmine (23, 24). Questo rende i testi su animali ancora meno affidabili del lancio di una monetina.</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La maggior parte di noi ormai si renderà conto che i test su animali non funzionano quando si tratta di farmaci umani. E molte persone diranno, “Bene, se non si testa su ratti e cani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come si testano nuovi farmaci?”. Ci sono due risposte a questa domanda.</w:t>
      </w:r>
    </w:p>
    <w:p w:rsidR="008C1159" w:rsidRPr="00456432" w:rsidRDefault="008C1159" w:rsidP="006063E5">
      <w:pPr>
        <w:pStyle w:val="NormaleWeb"/>
        <w:spacing w:before="0" w:beforeAutospacing="0" w:after="0" w:afterAutospacing="0"/>
        <w:jc w:val="both"/>
        <w:textAlignment w:val="baseline"/>
        <w:rPr>
          <w:rFonts w:asciiTheme="minorHAnsi" w:hAnsiTheme="minorHAnsi"/>
          <w:b/>
          <w:bdr w:val="none" w:sz="0" w:space="0" w:color="auto" w:frame="1"/>
        </w:rPr>
      </w:pPr>
      <w:r w:rsidRPr="00456432">
        <w:rPr>
          <w:rFonts w:asciiTheme="minorHAnsi" w:hAnsiTheme="minorHAnsi"/>
          <w:b/>
          <w:bdr w:val="none" w:sz="0" w:space="0" w:color="auto" w:frame="1"/>
        </w:rPr>
        <w:t>Risposta 1.</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L’evidenza scientifica mostra che testare su ratti e cani </w:t>
      </w:r>
      <w:proofErr w:type="spellStart"/>
      <w:r w:rsidRPr="00456432">
        <w:rPr>
          <w:rFonts w:asciiTheme="minorHAnsi" w:hAnsiTheme="minorHAnsi"/>
          <w:bdr w:val="none" w:sz="0" w:space="0" w:color="auto" w:frame="1"/>
        </w:rPr>
        <w:t>Beagle</w:t>
      </w:r>
      <w:proofErr w:type="spellEnd"/>
      <w:r w:rsidRPr="00456432">
        <w:rPr>
          <w:rFonts w:asciiTheme="minorHAnsi" w:hAnsiTheme="minorHAnsi"/>
          <w:bdr w:val="none" w:sz="0" w:space="0" w:color="auto" w:frame="1"/>
        </w:rPr>
        <w:t xml:space="preserve"> (o ogni altro animale) è meno affidabile che lanciare una monetina, quindi dovremmo smettere di farlo, indipendentemente da qualsiasi altra cosa sia disponibile per testare farmaci.</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
          <w:bdr w:val="none" w:sz="0" w:space="0" w:color="auto" w:frame="1"/>
        </w:rPr>
        <w:t>Risposta 2.</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 xml:space="preserve">Per rispettare la legge l’industria farmaceutica continua a testare i farmaci su animali ma l’industria è ben consapevole del fatto che gli animali non possono essere predittivi del risultato umano, che è il motivo per cui sta investendo risorse nei metodi di ricerca basati sull’uomo che sono rilevanti per le persone. Questi includono studi sulle cellule umane, studi sul DNA umano, l’uso di tessuti umani da donatori, studi con computer e molto altro. La maggior parte di questi metodi basati sull’uomo sono in continuo miglioramento, per renderli affidabili per testare farmaci umani. Molti di questi metodi non sono ancora predittivi al 100 percento, ma essi sono meglio del lancio di una monetina (= test su animali) e sono rilevanti per le persone (25). </w:t>
      </w:r>
    </w:p>
    <w:p w:rsidR="008C1159" w:rsidRPr="00456432" w:rsidRDefault="008C1159" w:rsidP="006063E5">
      <w:pPr>
        <w:pStyle w:val="NormaleWeb"/>
        <w:spacing w:before="0" w:beforeAutospacing="0" w:after="0" w:afterAutospacing="0"/>
        <w:jc w:val="both"/>
        <w:textAlignment w:val="baseline"/>
        <w:rPr>
          <w:rFonts w:asciiTheme="minorHAnsi" w:hAnsiTheme="minorHAnsi"/>
          <w:b/>
          <w:bdr w:val="none" w:sz="0" w:space="0" w:color="auto" w:frame="1"/>
        </w:rPr>
      </w:pPr>
      <w:r w:rsidRPr="00456432">
        <w:rPr>
          <w:rFonts w:asciiTheme="minorHAnsi" w:hAnsiTheme="minorHAnsi"/>
          <w:b/>
          <w:bdr w:val="none" w:sz="0" w:space="0" w:color="auto" w:frame="1"/>
        </w:rPr>
        <w:t>Conclusione</w:t>
      </w:r>
    </w:p>
    <w:p w:rsidR="008C1159" w:rsidRPr="00456432" w:rsidRDefault="008C1159" w:rsidP="006063E5">
      <w:pPr>
        <w:pStyle w:val="NormaleWeb"/>
        <w:spacing w:before="0" w:beforeAutospacing="0" w:after="0" w:afterAutospacing="0"/>
        <w:jc w:val="both"/>
        <w:textAlignment w:val="baseline"/>
        <w:rPr>
          <w:rFonts w:asciiTheme="minorHAnsi" w:hAnsiTheme="minorHAnsi"/>
          <w:bdr w:val="none" w:sz="0" w:space="0" w:color="auto" w:frame="1"/>
        </w:rPr>
      </w:pPr>
      <w:r w:rsidRPr="00456432">
        <w:rPr>
          <w:rFonts w:asciiTheme="minorHAnsi" w:hAnsiTheme="minorHAnsi"/>
          <w:bdr w:val="none" w:sz="0" w:space="0" w:color="auto" w:frame="1"/>
        </w:rPr>
        <w:t>Nei 65 anni da quando le leggi sui test su animali sono state introdotte, la ricerca scientifica ha rivoluzionato la nostra capacità di comprensione della biologia umane e di come essa è diversa dalle altre specie. Come risultato di ciò che ora sappiamo sul corpo umano, le conseguenze di queste leggi di sicurezza vecchie di 65 anni che impongono test su animali non sono solo che esse sono diventate obsolete ma che di fatto espongono in modo incauto e negligente migliaia di persone al rischio di morte a causa del loro stesso farmaco (197.000 morti da reazione avversa ai farmaci all’anno in Europa) (26).</w:t>
      </w:r>
    </w:p>
    <w:p w:rsidR="008C1159" w:rsidRPr="006063E5" w:rsidRDefault="008C1159" w:rsidP="006063E5">
      <w:pPr>
        <w:pStyle w:val="NormaleWeb"/>
        <w:spacing w:before="0" w:beforeAutospacing="0" w:after="0" w:afterAutospacing="0"/>
        <w:jc w:val="both"/>
        <w:textAlignment w:val="baseline"/>
        <w:rPr>
          <w:rFonts w:asciiTheme="minorHAnsi" w:hAnsiTheme="minorHAnsi"/>
          <w:color w:val="333333"/>
          <w:bdr w:val="none" w:sz="0" w:space="0" w:color="auto" w:frame="1"/>
        </w:rPr>
      </w:pPr>
    </w:p>
    <w:p w:rsidR="008C1159" w:rsidRPr="006063E5" w:rsidRDefault="008C1159" w:rsidP="006063E5">
      <w:pPr>
        <w:pStyle w:val="NormaleWeb"/>
        <w:spacing w:before="0" w:beforeAutospacing="0" w:after="0" w:afterAutospacing="0"/>
        <w:jc w:val="both"/>
        <w:textAlignment w:val="baseline"/>
        <w:rPr>
          <w:rFonts w:asciiTheme="minorHAnsi" w:hAnsiTheme="minorHAnsi"/>
          <w:color w:val="333333"/>
          <w:lang w:val="en-US"/>
        </w:rPr>
      </w:pPr>
      <w:proofErr w:type="spellStart"/>
      <w:r w:rsidRPr="006063E5">
        <w:rPr>
          <w:rStyle w:val="Enfasigrassetto"/>
          <w:rFonts w:asciiTheme="minorHAnsi" w:hAnsiTheme="minorHAnsi"/>
          <w:color w:val="333333"/>
          <w:bdr w:val="none" w:sz="0" w:space="0" w:color="auto" w:frame="1"/>
          <w:lang w:val="en-US"/>
        </w:rPr>
        <w:t>Riferimenti</w:t>
      </w:r>
      <w:proofErr w:type="spellEnd"/>
      <w:r w:rsidRPr="006063E5">
        <w:rPr>
          <w:rStyle w:val="Enfasigrassetto"/>
          <w:rFonts w:asciiTheme="minorHAnsi" w:hAnsiTheme="minorHAnsi"/>
          <w:color w:val="333333"/>
          <w:bdr w:val="none" w:sz="0" w:space="0" w:color="auto" w:frame="1"/>
          <w:lang w:val="en-US"/>
        </w:rPr>
        <w:t>:</w:t>
      </w:r>
    </w:p>
    <w:p w:rsidR="008C1159" w:rsidRPr="00456432" w:rsidRDefault="008C1159" w:rsidP="00456432">
      <w:pPr>
        <w:pStyle w:val="NormaleWeb"/>
        <w:spacing w:before="0" w:beforeAutospacing="0" w:after="0" w:afterAutospacing="0"/>
        <w:textAlignment w:val="baseline"/>
        <w:rPr>
          <w:rFonts w:asciiTheme="minorHAnsi" w:hAnsiTheme="minorHAnsi"/>
        </w:rPr>
      </w:pPr>
      <w:r w:rsidRPr="00456432">
        <w:rPr>
          <w:rFonts w:asciiTheme="minorHAnsi" w:hAnsiTheme="minorHAnsi"/>
          <w:sz w:val="20"/>
          <w:szCs w:val="20"/>
          <w:bdr w:val="none" w:sz="0" w:space="0" w:color="auto" w:frame="1"/>
          <w:lang w:val="en-US"/>
        </w:rPr>
        <w:t>1.</w:t>
      </w:r>
      <w:r w:rsidRPr="00456432">
        <w:rPr>
          <w:rStyle w:val="apple-converted-space"/>
          <w:rFonts w:asciiTheme="minorHAnsi" w:hAnsiTheme="minorHAnsi"/>
          <w:sz w:val="20"/>
          <w:szCs w:val="20"/>
          <w:bdr w:val="none" w:sz="0" w:space="0" w:color="auto" w:frame="1"/>
          <w:lang w:val="en-US"/>
        </w:rPr>
        <w:t> </w:t>
      </w:r>
      <w:hyperlink r:id="rId5" w:history="1">
        <w:r w:rsidRPr="00456432">
          <w:rPr>
            <w:rStyle w:val="Collegamentoipertestuale"/>
            <w:rFonts w:asciiTheme="minorHAnsi" w:hAnsiTheme="minorHAnsi"/>
            <w:color w:val="auto"/>
            <w:sz w:val="20"/>
            <w:szCs w:val="20"/>
            <w:bdr w:val="none" w:sz="0" w:space="0" w:color="auto" w:frame="1"/>
            <w:lang w:val="en-US"/>
          </w:rPr>
          <w:t>http://www.ncbi.nlm.nih.gov/pubmed/22769234</w:t>
        </w:r>
      </w:hyperlink>
      <w:r w:rsidRPr="00456432">
        <w:rPr>
          <w:rFonts w:asciiTheme="minorHAnsi" w:hAnsiTheme="minorHAnsi"/>
          <w:sz w:val="20"/>
          <w:szCs w:val="20"/>
          <w:bdr w:val="none" w:sz="0" w:space="0" w:color="auto" w:frame="1"/>
          <w:lang w:val="en-US"/>
        </w:rPr>
        <w:br/>
        <w:t>2. Heywood R. Clinical Toxicity – Could it have been predicted? Post-marketing experience. In: Lumley CE, Walker S Lancaster, Quay, editor. Animal Toxicity Studies: Their Relevance for Man.1990. pp. 57–67.</w:t>
      </w:r>
      <w:r w:rsidRPr="00456432">
        <w:rPr>
          <w:rFonts w:asciiTheme="minorHAnsi" w:hAnsiTheme="minorHAnsi"/>
          <w:sz w:val="20"/>
          <w:szCs w:val="20"/>
          <w:bdr w:val="none" w:sz="0" w:space="0" w:color="auto" w:frame="1"/>
          <w:lang w:val="en-US"/>
        </w:rPr>
        <w:br/>
        <w:t xml:space="preserve">3. </w:t>
      </w:r>
      <w:proofErr w:type="spellStart"/>
      <w:r w:rsidRPr="00456432">
        <w:rPr>
          <w:rFonts w:asciiTheme="minorHAnsi" w:hAnsiTheme="minorHAnsi"/>
          <w:sz w:val="20"/>
          <w:szCs w:val="20"/>
          <w:bdr w:val="none" w:sz="0" w:space="0" w:color="auto" w:frame="1"/>
          <w:lang w:val="en-US"/>
        </w:rPr>
        <w:t>Spriet-Pourra</w:t>
      </w:r>
      <w:proofErr w:type="spellEnd"/>
      <w:r w:rsidRPr="00456432">
        <w:rPr>
          <w:rFonts w:asciiTheme="minorHAnsi" w:hAnsiTheme="minorHAnsi"/>
          <w:sz w:val="20"/>
          <w:szCs w:val="20"/>
          <w:bdr w:val="none" w:sz="0" w:space="0" w:color="auto" w:frame="1"/>
          <w:lang w:val="en-US"/>
        </w:rPr>
        <w:t xml:space="preserve"> C, </w:t>
      </w:r>
      <w:proofErr w:type="spellStart"/>
      <w:r w:rsidRPr="00456432">
        <w:rPr>
          <w:rFonts w:asciiTheme="minorHAnsi" w:hAnsiTheme="minorHAnsi"/>
          <w:sz w:val="20"/>
          <w:szCs w:val="20"/>
          <w:bdr w:val="none" w:sz="0" w:space="0" w:color="auto" w:frame="1"/>
          <w:lang w:val="en-US"/>
        </w:rPr>
        <w:t>Auriche</w:t>
      </w:r>
      <w:proofErr w:type="spellEnd"/>
      <w:r w:rsidRPr="00456432">
        <w:rPr>
          <w:rFonts w:asciiTheme="minorHAnsi" w:hAnsiTheme="minorHAnsi"/>
          <w:sz w:val="20"/>
          <w:szCs w:val="20"/>
          <w:bdr w:val="none" w:sz="0" w:space="0" w:color="auto" w:frame="1"/>
          <w:lang w:val="en-US"/>
        </w:rPr>
        <w:t xml:space="preserve"> M. New York. 2 1994. Drug Withdrawal from Sale.</w:t>
      </w:r>
      <w:r w:rsidRPr="00456432">
        <w:rPr>
          <w:rFonts w:asciiTheme="minorHAnsi" w:hAnsiTheme="minorHAnsi"/>
          <w:sz w:val="20"/>
          <w:szCs w:val="20"/>
          <w:bdr w:val="none" w:sz="0" w:space="0" w:color="auto" w:frame="1"/>
          <w:lang w:val="en-US"/>
        </w:rPr>
        <w:br/>
        <w:t xml:space="preserve">4. Igarashi T. The duration of toxicity studies required to support repeated dosing in clinical investigation – A toxicologists opinion. In: Parkinson CNM, Lumley C, Walker SR, editor. CMR Workshop: The Timing of Toxicological Studies to Support Clinical Trials. Boston/UK: </w:t>
      </w:r>
      <w:proofErr w:type="spellStart"/>
      <w:r w:rsidRPr="00456432">
        <w:rPr>
          <w:rFonts w:asciiTheme="minorHAnsi" w:hAnsiTheme="minorHAnsi"/>
          <w:sz w:val="20"/>
          <w:szCs w:val="20"/>
          <w:bdr w:val="none" w:sz="0" w:space="0" w:color="auto" w:frame="1"/>
          <w:lang w:val="en-US"/>
        </w:rPr>
        <w:t>Kluwer</w:t>
      </w:r>
      <w:proofErr w:type="spellEnd"/>
      <w:r w:rsidRPr="00456432">
        <w:rPr>
          <w:rFonts w:asciiTheme="minorHAnsi" w:hAnsiTheme="minorHAnsi"/>
          <w:sz w:val="20"/>
          <w:szCs w:val="20"/>
          <w:bdr w:val="none" w:sz="0" w:space="0" w:color="auto" w:frame="1"/>
          <w:lang w:val="en-US"/>
        </w:rPr>
        <w:t>; 1994. pp. 67–74.</w:t>
      </w:r>
      <w:r w:rsidRPr="00456432">
        <w:rPr>
          <w:rFonts w:asciiTheme="minorHAnsi" w:hAnsiTheme="minorHAnsi"/>
          <w:sz w:val="20"/>
          <w:szCs w:val="20"/>
          <w:bdr w:val="none" w:sz="0" w:space="0" w:color="auto" w:frame="1"/>
          <w:lang w:val="en-US"/>
        </w:rPr>
        <w:br/>
        <w:t xml:space="preserve">5. </w:t>
      </w:r>
      <w:proofErr w:type="spellStart"/>
      <w:r w:rsidRPr="00456432">
        <w:rPr>
          <w:rFonts w:asciiTheme="minorHAnsi" w:hAnsiTheme="minorHAnsi"/>
          <w:sz w:val="20"/>
          <w:szCs w:val="20"/>
          <w:bdr w:val="none" w:sz="0" w:space="0" w:color="auto" w:frame="1"/>
          <w:lang w:val="en-US"/>
        </w:rPr>
        <w:t>Sankar</w:t>
      </w:r>
      <w:proofErr w:type="spellEnd"/>
      <w:r w:rsidRPr="00456432">
        <w:rPr>
          <w:rFonts w:asciiTheme="minorHAnsi" w:hAnsiTheme="minorHAnsi"/>
          <w:sz w:val="20"/>
          <w:szCs w:val="20"/>
          <w:bdr w:val="none" w:sz="0" w:space="0" w:color="auto" w:frame="1"/>
          <w:lang w:val="en-US"/>
        </w:rPr>
        <w:t xml:space="preserve"> U. The Delicate Toxicity Balance in Drug Discovery. The Scientist. 2005;19:32.</w:t>
      </w:r>
      <w:r w:rsidRPr="00456432">
        <w:rPr>
          <w:rFonts w:asciiTheme="minorHAnsi" w:hAnsiTheme="minorHAnsi"/>
          <w:sz w:val="20"/>
          <w:szCs w:val="20"/>
          <w:bdr w:val="none" w:sz="0" w:space="0" w:color="auto" w:frame="1"/>
          <w:lang w:val="en-US"/>
        </w:rPr>
        <w:br/>
        <w:t xml:space="preserve">6. </w:t>
      </w:r>
      <w:proofErr w:type="spellStart"/>
      <w:r w:rsidRPr="00456432">
        <w:rPr>
          <w:rFonts w:asciiTheme="minorHAnsi" w:hAnsiTheme="minorHAnsi"/>
          <w:sz w:val="20"/>
          <w:szCs w:val="20"/>
          <w:bdr w:val="none" w:sz="0" w:space="0" w:color="auto" w:frame="1"/>
          <w:lang w:val="en-US"/>
        </w:rPr>
        <w:t>Wilbourn</w:t>
      </w:r>
      <w:proofErr w:type="spellEnd"/>
      <w:r w:rsidRPr="00456432">
        <w:rPr>
          <w:rFonts w:asciiTheme="minorHAnsi" w:hAnsiTheme="minorHAnsi"/>
          <w:sz w:val="20"/>
          <w:szCs w:val="20"/>
          <w:bdr w:val="none" w:sz="0" w:space="0" w:color="auto" w:frame="1"/>
          <w:lang w:val="en-US"/>
        </w:rPr>
        <w:t xml:space="preserve"> J, </w:t>
      </w:r>
      <w:proofErr w:type="spellStart"/>
      <w:r w:rsidRPr="00456432">
        <w:rPr>
          <w:rFonts w:asciiTheme="minorHAnsi" w:hAnsiTheme="minorHAnsi"/>
          <w:sz w:val="20"/>
          <w:szCs w:val="20"/>
          <w:bdr w:val="none" w:sz="0" w:space="0" w:color="auto" w:frame="1"/>
          <w:lang w:val="en-US"/>
        </w:rPr>
        <w:t>Haroun</w:t>
      </w:r>
      <w:proofErr w:type="spellEnd"/>
      <w:r w:rsidRPr="00456432">
        <w:rPr>
          <w:rFonts w:asciiTheme="minorHAnsi" w:hAnsiTheme="minorHAnsi"/>
          <w:sz w:val="20"/>
          <w:szCs w:val="20"/>
          <w:bdr w:val="none" w:sz="0" w:space="0" w:color="auto" w:frame="1"/>
          <w:lang w:val="en-US"/>
        </w:rPr>
        <w:t xml:space="preserve"> L, Heseltine E, </w:t>
      </w:r>
      <w:proofErr w:type="spellStart"/>
      <w:r w:rsidRPr="00456432">
        <w:rPr>
          <w:rFonts w:asciiTheme="minorHAnsi" w:hAnsiTheme="minorHAnsi"/>
          <w:sz w:val="20"/>
          <w:szCs w:val="20"/>
          <w:bdr w:val="none" w:sz="0" w:space="0" w:color="auto" w:frame="1"/>
          <w:lang w:val="en-US"/>
        </w:rPr>
        <w:t>Kaldor</w:t>
      </w:r>
      <w:proofErr w:type="spellEnd"/>
      <w:r w:rsidRPr="00456432">
        <w:rPr>
          <w:rFonts w:asciiTheme="minorHAnsi" w:hAnsiTheme="minorHAnsi"/>
          <w:sz w:val="20"/>
          <w:szCs w:val="20"/>
          <w:bdr w:val="none" w:sz="0" w:space="0" w:color="auto" w:frame="1"/>
          <w:lang w:val="en-US"/>
        </w:rPr>
        <w:t xml:space="preserve"> J, </w:t>
      </w:r>
      <w:proofErr w:type="spellStart"/>
      <w:r w:rsidRPr="00456432">
        <w:rPr>
          <w:rFonts w:asciiTheme="minorHAnsi" w:hAnsiTheme="minorHAnsi"/>
          <w:sz w:val="20"/>
          <w:szCs w:val="20"/>
          <w:bdr w:val="none" w:sz="0" w:space="0" w:color="auto" w:frame="1"/>
          <w:lang w:val="en-US"/>
        </w:rPr>
        <w:t>Partensky</w:t>
      </w:r>
      <w:proofErr w:type="spellEnd"/>
      <w:r w:rsidRPr="00456432">
        <w:rPr>
          <w:rFonts w:asciiTheme="minorHAnsi" w:hAnsiTheme="minorHAnsi"/>
          <w:sz w:val="20"/>
          <w:szCs w:val="20"/>
          <w:bdr w:val="none" w:sz="0" w:space="0" w:color="auto" w:frame="1"/>
          <w:lang w:val="en-US"/>
        </w:rPr>
        <w:t xml:space="preserve"> C, </w:t>
      </w:r>
      <w:proofErr w:type="spellStart"/>
      <w:r w:rsidRPr="00456432">
        <w:rPr>
          <w:rFonts w:asciiTheme="minorHAnsi" w:hAnsiTheme="minorHAnsi"/>
          <w:sz w:val="20"/>
          <w:szCs w:val="20"/>
          <w:bdr w:val="none" w:sz="0" w:space="0" w:color="auto" w:frame="1"/>
          <w:lang w:val="en-US"/>
        </w:rPr>
        <w:t>Vainio</w:t>
      </w:r>
      <w:proofErr w:type="spellEnd"/>
      <w:r w:rsidRPr="00456432">
        <w:rPr>
          <w:rFonts w:asciiTheme="minorHAnsi" w:hAnsiTheme="minorHAnsi"/>
          <w:sz w:val="20"/>
          <w:szCs w:val="20"/>
          <w:bdr w:val="none" w:sz="0" w:space="0" w:color="auto" w:frame="1"/>
          <w:lang w:val="en-US"/>
        </w:rPr>
        <w:t xml:space="preserve"> H. Response of experimental animals to human carcinogens: an analysis based upon the IARC Monographs </w:t>
      </w:r>
      <w:proofErr w:type="spellStart"/>
      <w:r w:rsidRPr="00456432">
        <w:rPr>
          <w:rFonts w:asciiTheme="minorHAnsi" w:hAnsiTheme="minorHAnsi"/>
          <w:sz w:val="20"/>
          <w:szCs w:val="20"/>
          <w:bdr w:val="none" w:sz="0" w:space="0" w:color="auto" w:frame="1"/>
          <w:lang w:val="en-US"/>
        </w:rPr>
        <w:t>programme.Carcinogenesis</w:t>
      </w:r>
      <w:proofErr w:type="spellEnd"/>
      <w:r w:rsidRPr="00456432">
        <w:rPr>
          <w:rFonts w:asciiTheme="minorHAnsi" w:hAnsiTheme="minorHAnsi"/>
          <w:sz w:val="20"/>
          <w:szCs w:val="20"/>
          <w:bdr w:val="none" w:sz="0" w:space="0" w:color="auto" w:frame="1"/>
          <w:lang w:val="en-US"/>
        </w:rPr>
        <w:t xml:space="preserve">. 1986;7:1853–1863. </w:t>
      </w:r>
      <w:proofErr w:type="spellStart"/>
      <w:r w:rsidRPr="00456432">
        <w:rPr>
          <w:rFonts w:asciiTheme="minorHAnsi" w:hAnsiTheme="minorHAnsi"/>
          <w:sz w:val="20"/>
          <w:szCs w:val="20"/>
          <w:bdr w:val="none" w:sz="0" w:space="0" w:color="auto" w:frame="1"/>
          <w:lang w:val="en-US"/>
        </w:rPr>
        <w:t>doi</w:t>
      </w:r>
      <w:proofErr w:type="spellEnd"/>
      <w:r w:rsidRPr="00456432">
        <w:rPr>
          <w:rFonts w:asciiTheme="minorHAnsi" w:hAnsiTheme="minorHAnsi"/>
          <w:sz w:val="20"/>
          <w:szCs w:val="20"/>
          <w:bdr w:val="none" w:sz="0" w:space="0" w:color="auto" w:frame="1"/>
          <w:lang w:val="en-US"/>
        </w:rPr>
        <w:t>: 10.1093/</w:t>
      </w:r>
      <w:proofErr w:type="spellStart"/>
      <w:r w:rsidRPr="00456432">
        <w:rPr>
          <w:rFonts w:asciiTheme="minorHAnsi" w:hAnsiTheme="minorHAnsi"/>
          <w:sz w:val="20"/>
          <w:szCs w:val="20"/>
          <w:bdr w:val="none" w:sz="0" w:space="0" w:color="auto" w:frame="1"/>
          <w:lang w:val="en-US"/>
        </w:rPr>
        <w:t>carcin</w:t>
      </w:r>
      <w:proofErr w:type="spellEnd"/>
      <w:r w:rsidRPr="00456432">
        <w:rPr>
          <w:rFonts w:asciiTheme="minorHAnsi" w:hAnsiTheme="minorHAnsi"/>
          <w:sz w:val="20"/>
          <w:szCs w:val="20"/>
          <w:bdr w:val="none" w:sz="0" w:space="0" w:color="auto" w:frame="1"/>
          <w:lang w:val="en-US"/>
        </w:rPr>
        <w:t>/7.11.1853.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 [Cross Ref]</w:t>
      </w:r>
      <w:r w:rsidRPr="00456432">
        <w:rPr>
          <w:rFonts w:asciiTheme="minorHAnsi" w:hAnsiTheme="minorHAnsi"/>
          <w:sz w:val="20"/>
          <w:szCs w:val="20"/>
          <w:bdr w:val="none" w:sz="0" w:space="0" w:color="auto" w:frame="1"/>
          <w:lang w:val="en-US"/>
        </w:rPr>
        <w:br/>
        <w:t xml:space="preserve">7. </w:t>
      </w:r>
      <w:proofErr w:type="spellStart"/>
      <w:r w:rsidRPr="00456432">
        <w:rPr>
          <w:rFonts w:asciiTheme="minorHAnsi" w:hAnsiTheme="minorHAnsi"/>
          <w:sz w:val="20"/>
          <w:szCs w:val="20"/>
          <w:bdr w:val="none" w:sz="0" w:space="0" w:color="auto" w:frame="1"/>
          <w:lang w:val="en-US"/>
        </w:rPr>
        <w:t>Rall</w:t>
      </w:r>
      <w:proofErr w:type="spellEnd"/>
      <w:r w:rsidRPr="00456432">
        <w:rPr>
          <w:rFonts w:asciiTheme="minorHAnsi" w:hAnsiTheme="minorHAnsi"/>
          <w:sz w:val="20"/>
          <w:szCs w:val="20"/>
          <w:bdr w:val="none" w:sz="0" w:space="0" w:color="auto" w:frame="1"/>
          <w:lang w:val="en-US"/>
        </w:rPr>
        <w:t xml:space="preserve"> DP. Laboratory animal tests and human cancer. Drug </w:t>
      </w:r>
      <w:proofErr w:type="spellStart"/>
      <w:r w:rsidRPr="00456432">
        <w:rPr>
          <w:rFonts w:asciiTheme="minorHAnsi" w:hAnsiTheme="minorHAnsi"/>
          <w:sz w:val="20"/>
          <w:szCs w:val="20"/>
          <w:bdr w:val="none" w:sz="0" w:space="0" w:color="auto" w:frame="1"/>
          <w:lang w:val="en-US"/>
        </w:rPr>
        <w:t>Metab</w:t>
      </w:r>
      <w:proofErr w:type="spellEnd"/>
      <w:r w:rsidRPr="00456432">
        <w:rPr>
          <w:rFonts w:asciiTheme="minorHAnsi" w:hAnsiTheme="minorHAnsi"/>
          <w:sz w:val="20"/>
          <w:szCs w:val="20"/>
          <w:bdr w:val="none" w:sz="0" w:space="0" w:color="auto" w:frame="1"/>
          <w:lang w:val="en-US"/>
        </w:rPr>
        <w:t xml:space="preserve"> Rev. 2000;32:119–128. </w:t>
      </w:r>
      <w:proofErr w:type="spellStart"/>
      <w:r w:rsidRPr="00456432">
        <w:rPr>
          <w:rFonts w:asciiTheme="minorHAnsi" w:hAnsiTheme="minorHAnsi"/>
          <w:sz w:val="20"/>
          <w:szCs w:val="20"/>
          <w:bdr w:val="none" w:sz="0" w:space="0" w:color="auto" w:frame="1"/>
          <w:lang w:val="en-US"/>
        </w:rPr>
        <w:t>doi</w:t>
      </w:r>
      <w:proofErr w:type="spellEnd"/>
      <w:r w:rsidRPr="00456432">
        <w:rPr>
          <w:rFonts w:asciiTheme="minorHAnsi" w:hAnsiTheme="minorHAnsi"/>
          <w:sz w:val="20"/>
          <w:szCs w:val="20"/>
          <w:bdr w:val="none" w:sz="0" w:space="0" w:color="auto" w:frame="1"/>
          <w:lang w:val="en-US"/>
        </w:rPr>
        <w:t>: 10.1081/DMR-100100565.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 [Cross Ref]</w:t>
      </w:r>
      <w:r w:rsidRPr="00456432">
        <w:rPr>
          <w:rFonts w:asciiTheme="minorHAnsi" w:hAnsiTheme="minorHAnsi"/>
          <w:sz w:val="20"/>
          <w:szCs w:val="20"/>
          <w:bdr w:val="none" w:sz="0" w:space="0" w:color="auto" w:frame="1"/>
          <w:lang w:val="en-US"/>
        </w:rPr>
        <w:br/>
        <w:t xml:space="preserve">8. </w:t>
      </w:r>
      <w:proofErr w:type="spellStart"/>
      <w:r w:rsidRPr="00456432">
        <w:rPr>
          <w:rFonts w:asciiTheme="minorHAnsi" w:hAnsiTheme="minorHAnsi"/>
          <w:sz w:val="20"/>
          <w:szCs w:val="20"/>
          <w:bdr w:val="none" w:sz="0" w:space="0" w:color="auto" w:frame="1"/>
          <w:lang w:val="en-US"/>
        </w:rPr>
        <w:t>Tomatis</w:t>
      </w:r>
      <w:proofErr w:type="spellEnd"/>
      <w:r w:rsidRPr="00456432">
        <w:rPr>
          <w:rFonts w:asciiTheme="minorHAnsi" w:hAnsiTheme="minorHAnsi"/>
          <w:sz w:val="20"/>
          <w:szCs w:val="20"/>
          <w:bdr w:val="none" w:sz="0" w:space="0" w:color="auto" w:frame="1"/>
          <w:lang w:val="en-US"/>
        </w:rPr>
        <w:t xml:space="preserve"> L, </w:t>
      </w:r>
      <w:proofErr w:type="spellStart"/>
      <w:r w:rsidRPr="00456432">
        <w:rPr>
          <w:rFonts w:asciiTheme="minorHAnsi" w:hAnsiTheme="minorHAnsi"/>
          <w:sz w:val="20"/>
          <w:szCs w:val="20"/>
          <w:bdr w:val="none" w:sz="0" w:space="0" w:color="auto" w:frame="1"/>
          <w:lang w:val="en-US"/>
        </w:rPr>
        <w:t>Aitio</w:t>
      </w:r>
      <w:proofErr w:type="spellEnd"/>
      <w:r w:rsidRPr="00456432">
        <w:rPr>
          <w:rFonts w:asciiTheme="minorHAnsi" w:hAnsiTheme="minorHAnsi"/>
          <w:sz w:val="20"/>
          <w:szCs w:val="20"/>
          <w:bdr w:val="none" w:sz="0" w:space="0" w:color="auto" w:frame="1"/>
          <w:lang w:val="en-US"/>
        </w:rPr>
        <w:t xml:space="preserve"> A, </w:t>
      </w:r>
      <w:proofErr w:type="spellStart"/>
      <w:r w:rsidRPr="00456432">
        <w:rPr>
          <w:rFonts w:asciiTheme="minorHAnsi" w:hAnsiTheme="minorHAnsi"/>
          <w:sz w:val="20"/>
          <w:szCs w:val="20"/>
          <w:bdr w:val="none" w:sz="0" w:space="0" w:color="auto" w:frame="1"/>
          <w:lang w:val="en-US"/>
        </w:rPr>
        <w:t>Wilbourn</w:t>
      </w:r>
      <w:proofErr w:type="spellEnd"/>
      <w:r w:rsidRPr="00456432">
        <w:rPr>
          <w:rFonts w:asciiTheme="minorHAnsi" w:hAnsiTheme="minorHAnsi"/>
          <w:sz w:val="20"/>
          <w:szCs w:val="20"/>
          <w:bdr w:val="none" w:sz="0" w:space="0" w:color="auto" w:frame="1"/>
          <w:lang w:val="en-US"/>
        </w:rPr>
        <w:t xml:space="preserve"> J, </w:t>
      </w:r>
      <w:proofErr w:type="spellStart"/>
      <w:r w:rsidRPr="00456432">
        <w:rPr>
          <w:rFonts w:asciiTheme="minorHAnsi" w:hAnsiTheme="minorHAnsi"/>
          <w:sz w:val="20"/>
          <w:szCs w:val="20"/>
          <w:bdr w:val="none" w:sz="0" w:space="0" w:color="auto" w:frame="1"/>
          <w:lang w:val="en-US"/>
        </w:rPr>
        <w:t>Shuker</w:t>
      </w:r>
      <w:proofErr w:type="spellEnd"/>
      <w:r w:rsidRPr="00456432">
        <w:rPr>
          <w:rFonts w:asciiTheme="minorHAnsi" w:hAnsiTheme="minorHAnsi"/>
          <w:sz w:val="20"/>
          <w:szCs w:val="20"/>
          <w:bdr w:val="none" w:sz="0" w:space="0" w:color="auto" w:frame="1"/>
          <w:lang w:val="en-US"/>
        </w:rPr>
        <w:t xml:space="preserve"> L. Human carcinogens so far identified. </w:t>
      </w:r>
      <w:proofErr w:type="spellStart"/>
      <w:r w:rsidRPr="00456432">
        <w:rPr>
          <w:rFonts w:asciiTheme="minorHAnsi" w:hAnsiTheme="minorHAnsi"/>
          <w:sz w:val="20"/>
          <w:szCs w:val="20"/>
          <w:bdr w:val="none" w:sz="0" w:space="0" w:color="auto" w:frame="1"/>
          <w:lang w:val="en-US"/>
        </w:rPr>
        <w:t>Jpn</w:t>
      </w:r>
      <w:proofErr w:type="spellEnd"/>
      <w:r w:rsidRPr="00456432">
        <w:rPr>
          <w:rFonts w:asciiTheme="minorHAnsi" w:hAnsiTheme="minorHAnsi"/>
          <w:sz w:val="20"/>
          <w:szCs w:val="20"/>
          <w:bdr w:val="none" w:sz="0" w:space="0" w:color="auto" w:frame="1"/>
          <w:lang w:val="en-US"/>
        </w:rPr>
        <w:t xml:space="preserve"> J Cancer Res.1989;80:795–807.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w:t>
      </w:r>
      <w:r w:rsidRPr="00456432">
        <w:rPr>
          <w:rFonts w:asciiTheme="minorHAnsi" w:hAnsiTheme="minorHAnsi"/>
          <w:sz w:val="20"/>
          <w:szCs w:val="20"/>
          <w:bdr w:val="none" w:sz="0" w:space="0" w:color="auto" w:frame="1"/>
          <w:lang w:val="en-US"/>
        </w:rPr>
        <w:br/>
        <w:t xml:space="preserve">9. Knight A, Bailey J, </w:t>
      </w:r>
      <w:proofErr w:type="spellStart"/>
      <w:r w:rsidRPr="00456432">
        <w:rPr>
          <w:rFonts w:asciiTheme="minorHAnsi" w:hAnsiTheme="minorHAnsi"/>
          <w:sz w:val="20"/>
          <w:szCs w:val="20"/>
          <w:bdr w:val="none" w:sz="0" w:space="0" w:color="auto" w:frame="1"/>
          <w:lang w:val="en-US"/>
        </w:rPr>
        <w:t>Balcombe</w:t>
      </w:r>
      <w:proofErr w:type="spellEnd"/>
      <w:r w:rsidRPr="00456432">
        <w:rPr>
          <w:rFonts w:asciiTheme="minorHAnsi" w:hAnsiTheme="minorHAnsi"/>
          <w:sz w:val="20"/>
          <w:szCs w:val="20"/>
          <w:bdr w:val="none" w:sz="0" w:space="0" w:color="auto" w:frame="1"/>
          <w:lang w:val="en-US"/>
        </w:rPr>
        <w:t xml:space="preserve"> J. Animal carcinogenicity studies: 1. Poor human </w:t>
      </w:r>
      <w:proofErr w:type="spellStart"/>
      <w:r w:rsidRPr="00456432">
        <w:rPr>
          <w:rFonts w:asciiTheme="minorHAnsi" w:hAnsiTheme="minorHAnsi"/>
          <w:sz w:val="20"/>
          <w:szCs w:val="20"/>
          <w:bdr w:val="none" w:sz="0" w:space="0" w:color="auto" w:frame="1"/>
          <w:lang w:val="en-US"/>
        </w:rPr>
        <w:t>predictivity</w:t>
      </w:r>
      <w:proofErr w:type="spellEnd"/>
      <w:r w:rsidRPr="00456432">
        <w:rPr>
          <w:rFonts w:asciiTheme="minorHAnsi" w:hAnsiTheme="minorHAnsi"/>
          <w:sz w:val="20"/>
          <w:szCs w:val="20"/>
          <w:bdr w:val="none" w:sz="0" w:space="0" w:color="auto" w:frame="1"/>
          <w:lang w:val="en-US"/>
        </w:rPr>
        <w:t xml:space="preserve">. </w:t>
      </w:r>
      <w:proofErr w:type="spellStart"/>
      <w:r w:rsidRPr="00456432">
        <w:rPr>
          <w:rFonts w:asciiTheme="minorHAnsi" w:hAnsiTheme="minorHAnsi"/>
          <w:sz w:val="20"/>
          <w:szCs w:val="20"/>
          <w:bdr w:val="none" w:sz="0" w:space="0" w:color="auto" w:frame="1"/>
          <w:lang w:val="en-US"/>
        </w:rPr>
        <w:t>Altern</w:t>
      </w:r>
      <w:proofErr w:type="spellEnd"/>
      <w:r w:rsidRPr="00456432">
        <w:rPr>
          <w:rFonts w:asciiTheme="minorHAnsi" w:hAnsiTheme="minorHAnsi"/>
          <w:sz w:val="20"/>
          <w:szCs w:val="20"/>
          <w:bdr w:val="none" w:sz="0" w:space="0" w:color="auto" w:frame="1"/>
          <w:lang w:val="en-US"/>
        </w:rPr>
        <w:t xml:space="preserve"> Lab Anim. 2006;34:19–27.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w:t>
      </w:r>
      <w:r w:rsidRPr="00456432">
        <w:rPr>
          <w:rFonts w:asciiTheme="minorHAnsi" w:hAnsiTheme="minorHAnsi"/>
          <w:sz w:val="20"/>
          <w:szCs w:val="20"/>
          <w:bdr w:val="none" w:sz="0" w:space="0" w:color="auto" w:frame="1"/>
          <w:lang w:val="en-US"/>
        </w:rPr>
        <w:br/>
        <w:t xml:space="preserve">10. </w:t>
      </w:r>
      <w:proofErr w:type="spellStart"/>
      <w:r w:rsidRPr="00456432">
        <w:rPr>
          <w:rFonts w:asciiTheme="minorHAnsi" w:hAnsiTheme="minorHAnsi"/>
          <w:sz w:val="20"/>
          <w:szCs w:val="20"/>
          <w:bdr w:val="none" w:sz="0" w:space="0" w:color="auto" w:frame="1"/>
          <w:lang w:val="en-US"/>
        </w:rPr>
        <w:t>Tomatis</w:t>
      </w:r>
      <w:proofErr w:type="spellEnd"/>
      <w:r w:rsidRPr="00456432">
        <w:rPr>
          <w:rFonts w:asciiTheme="minorHAnsi" w:hAnsiTheme="minorHAnsi"/>
          <w:sz w:val="20"/>
          <w:szCs w:val="20"/>
          <w:bdr w:val="none" w:sz="0" w:space="0" w:color="auto" w:frame="1"/>
          <w:lang w:val="en-US"/>
        </w:rPr>
        <w:t xml:space="preserve"> L, </w:t>
      </w:r>
      <w:proofErr w:type="spellStart"/>
      <w:r w:rsidRPr="00456432">
        <w:rPr>
          <w:rFonts w:asciiTheme="minorHAnsi" w:hAnsiTheme="minorHAnsi"/>
          <w:sz w:val="20"/>
          <w:szCs w:val="20"/>
          <w:bdr w:val="none" w:sz="0" w:space="0" w:color="auto" w:frame="1"/>
          <w:lang w:val="en-US"/>
        </w:rPr>
        <w:t>Wilbourn</w:t>
      </w:r>
      <w:proofErr w:type="spellEnd"/>
      <w:r w:rsidRPr="00456432">
        <w:rPr>
          <w:rFonts w:asciiTheme="minorHAnsi" w:hAnsiTheme="minorHAnsi"/>
          <w:sz w:val="20"/>
          <w:szCs w:val="20"/>
          <w:bdr w:val="none" w:sz="0" w:space="0" w:color="auto" w:frame="1"/>
          <w:lang w:val="en-US"/>
        </w:rPr>
        <w:t xml:space="preserve"> L. Evaluation of carcinogenic risk to humans: the experience of IARC. In: </w:t>
      </w:r>
      <w:proofErr w:type="spellStart"/>
      <w:r w:rsidRPr="00456432">
        <w:rPr>
          <w:rFonts w:asciiTheme="minorHAnsi" w:hAnsiTheme="minorHAnsi"/>
          <w:sz w:val="20"/>
          <w:szCs w:val="20"/>
          <w:bdr w:val="none" w:sz="0" w:space="0" w:color="auto" w:frame="1"/>
          <w:lang w:val="en-US"/>
        </w:rPr>
        <w:t>Iversen</w:t>
      </w:r>
      <w:proofErr w:type="spellEnd"/>
      <w:r w:rsidRPr="00456432">
        <w:rPr>
          <w:rFonts w:asciiTheme="minorHAnsi" w:hAnsiTheme="minorHAnsi"/>
          <w:sz w:val="20"/>
          <w:szCs w:val="20"/>
          <w:bdr w:val="none" w:sz="0" w:space="0" w:color="auto" w:frame="1"/>
          <w:lang w:val="en-US"/>
        </w:rPr>
        <w:t>, editor. New Frontiers in Cancer Causation. Washington, DC: Taylor and Francis; 2003. pp. 371–387.</w:t>
      </w:r>
      <w:r w:rsidRPr="00456432">
        <w:rPr>
          <w:rFonts w:asciiTheme="minorHAnsi" w:hAnsiTheme="minorHAnsi"/>
          <w:sz w:val="20"/>
          <w:szCs w:val="20"/>
          <w:bdr w:val="none" w:sz="0" w:space="0" w:color="auto" w:frame="1"/>
          <w:lang w:val="en-US"/>
        </w:rPr>
        <w:br/>
        <w:t xml:space="preserve">11. IARC </w:t>
      </w:r>
      <w:proofErr w:type="spellStart"/>
      <w:r w:rsidRPr="00456432">
        <w:rPr>
          <w:rFonts w:asciiTheme="minorHAnsi" w:hAnsiTheme="minorHAnsi"/>
          <w:sz w:val="20"/>
          <w:szCs w:val="20"/>
          <w:bdr w:val="none" w:sz="0" w:space="0" w:color="auto" w:frame="1"/>
          <w:lang w:val="en-US"/>
        </w:rPr>
        <w:t>IARC</w:t>
      </w:r>
      <w:proofErr w:type="spellEnd"/>
      <w:r w:rsidRPr="00456432">
        <w:rPr>
          <w:rFonts w:asciiTheme="minorHAnsi" w:hAnsiTheme="minorHAnsi"/>
          <w:sz w:val="20"/>
          <w:szCs w:val="20"/>
          <w:bdr w:val="none" w:sz="0" w:space="0" w:color="auto" w:frame="1"/>
          <w:lang w:val="en-US"/>
        </w:rPr>
        <w:t xml:space="preserve"> Monographs on the Evaluation of Carcinogenic Risks to Humans. Lyon: IARC; 1972.</w:t>
      </w:r>
      <w:r w:rsidRPr="00456432">
        <w:rPr>
          <w:rFonts w:asciiTheme="minorHAnsi" w:hAnsiTheme="minorHAnsi"/>
          <w:sz w:val="20"/>
          <w:szCs w:val="20"/>
          <w:bdr w:val="none" w:sz="0" w:space="0" w:color="auto" w:frame="1"/>
          <w:lang w:val="en-US"/>
        </w:rPr>
        <w:br/>
        <w:t xml:space="preserve">12. IARC monographs </w:t>
      </w:r>
      <w:proofErr w:type="spellStart"/>
      <w:r w:rsidRPr="00456432">
        <w:rPr>
          <w:rFonts w:asciiTheme="minorHAnsi" w:hAnsiTheme="minorHAnsi"/>
          <w:sz w:val="20"/>
          <w:szCs w:val="20"/>
          <w:bdr w:val="none" w:sz="0" w:space="0" w:color="auto" w:frame="1"/>
          <w:lang w:val="en-US"/>
        </w:rPr>
        <w:t>programme</w:t>
      </w:r>
      <w:proofErr w:type="spellEnd"/>
      <w:r w:rsidRPr="00456432">
        <w:rPr>
          <w:rFonts w:asciiTheme="minorHAnsi" w:hAnsiTheme="minorHAnsi"/>
          <w:sz w:val="20"/>
          <w:szCs w:val="20"/>
          <w:bdr w:val="none" w:sz="0" w:space="0" w:color="auto" w:frame="1"/>
          <w:lang w:val="en-US"/>
        </w:rPr>
        <w:t xml:space="preserve"> on the evaluation of carcinogenic risks to humans</w:t>
      </w:r>
      <w:r w:rsidRPr="00456432">
        <w:rPr>
          <w:rStyle w:val="apple-converted-space"/>
          <w:rFonts w:asciiTheme="minorHAnsi" w:hAnsiTheme="minorHAnsi"/>
          <w:sz w:val="20"/>
          <w:szCs w:val="20"/>
          <w:bdr w:val="none" w:sz="0" w:space="0" w:color="auto" w:frame="1"/>
          <w:lang w:val="en-US"/>
        </w:rPr>
        <w:t> </w:t>
      </w:r>
      <w:hyperlink r:id="rId6" w:history="1">
        <w:r w:rsidRPr="00456432">
          <w:rPr>
            <w:rStyle w:val="Collegamentoipertestuale"/>
            <w:rFonts w:asciiTheme="minorHAnsi" w:hAnsiTheme="minorHAnsi"/>
            <w:color w:val="auto"/>
            <w:sz w:val="20"/>
            <w:szCs w:val="20"/>
            <w:bdr w:val="none" w:sz="0" w:space="0" w:color="auto" w:frame="1"/>
            <w:lang w:val="en-US"/>
          </w:rPr>
          <w:t>http://monographs.iarc.fr</w:t>
        </w:r>
      </w:hyperlink>
      <w:r w:rsidRPr="00456432">
        <w:rPr>
          <w:rFonts w:asciiTheme="minorHAnsi" w:hAnsiTheme="minorHAnsi"/>
          <w:sz w:val="20"/>
          <w:szCs w:val="20"/>
          <w:bdr w:val="none" w:sz="0" w:space="0" w:color="auto" w:frame="1"/>
          <w:lang w:val="en-US"/>
        </w:rPr>
        <w:br/>
        <w:t xml:space="preserve">13. </w:t>
      </w:r>
      <w:proofErr w:type="spellStart"/>
      <w:r w:rsidRPr="00456432">
        <w:rPr>
          <w:rFonts w:asciiTheme="minorHAnsi" w:hAnsiTheme="minorHAnsi"/>
          <w:sz w:val="20"/>
          <w:szCs w:val="20"/>
          <w:bdr w:val="none" w:sz="0" w:space="0" w:color="auto" w:frame="1"/>
          <w:lang w:val="en-US"/>
        </w:rPr>
        <w:t>Haseman</w:t>
      </w:r>
      <w:proofErr w:type="spellEnd"/>
      <w:r w:rsidRPr="00456432">
        <w:rPr>
          <w:rFonts w:asciiTheme="minorHAnsi" w:hAnsiTheme="minorHAnsi"/>
          <w:sz w:val="20"/>
          <w:szCs w:val="20"/>
          <w:bdr w:val="none" w:sz="0" w:space="0" w:color="auto" w:frame="1"/>
          <w:lang w:val="en-US"/>
        </w:rPr>
        <w:t xml:space="preserve"> JK. Using the NTP database to assess the value of rodent carcinogenicity studies for determining human </w:t>
      </w:r>
      <w:r w:rsidRPr="00456432">
        <w:rPr>
          <w:rFonts w:asciiTheme="minorHAnsi" w:hAnsiTheme="minorHAnsi"/>
          <w:sz w:val="20"/>
          <w:szCs w:val="20"/>
          <w:bdr w:val="none" w:sz="0" w:space="0" w:color="auto" w:frame="1"/>
          <w:lang w:val="en-US"/>
        </w:rPr>
        <w:lastRenderedPageBreak/>
        <w:t xml:space="preserve">cancer risk. Drug </w:t>
      </w:r>
      <w:proofErr w:type="spellStart"/>
      <w:r w:rsidRPr="00456432">
        <w:rPr>
          <w:rFonts w:asciiTheme="minorHAnsi" w:hAnsiTheme="minorHAnsi"/>
          <w:sz w:val="20"/>
          <w:szCs w:val="20"/>
          <w:bdr w:val="none" w:sz="0" w:space="0" w:color="auto" w:frame="1"/>
          <w:lang w:val="en-US"/>
        </w:rPr>
        <w:t>Metab</w:t>
      </w:r>
      <w:proofErr w:type="spellEnd"/>
      <w:r w:rsidRPr="00456432">
        <w:rPr>
          <w:rFonts w:asciiTheme="minorHAnsi" w:hAnsiTheme="minorHAnsi"/>
          <w:sz w:val="20"/>
          <w:szCs w:val="20"/>
          <w:bdr w:val="none" w:sz="0" w:space="0" w:color="auto" w:frame="1"/>
          <w:lang w:val="en-US"/>
        </w:rPr>
        <w:t xml:space="preserve"> Rev. 2000;32:169–186. </w:t>
      </w:r>
      <w:proofErr w:type="spellStart"/>
      <w:r w:rsidRPr="00456432">
        <w:rPr>
          <w:rFonts w:asciiTheme="minorHAnsi" w:hAnsiTheme="minorHAnsi"/>
          <w:sz w:val="20"/>
          <w:szCs w:val="20"/>
          <w:bdr w:val="none" w:sz="0" w:space="0" w:color="auto" w:frame="1"/>
          <w:lang w:val="en-US"/>
        </w:rPr>
        <w:t>doi</w:t>
      </w:r>
      <w:proofErr w:type="spellEnd"/>
      <w:r w:rsidRPr="00456432">
        <w:rPr>
          <w:rFonts w:asciiTheme="minorHAnsi" w:hAnsiTheme="minorHAnsi"/>
          <w:sz w:val="20"/>
          <w:szCs w:val="20"/>
          <w:bdr w:val="none" w:sz="0" w:space="0" w:color="auto" w:frame="1"/>
          <w:lang w:val="en-US"/>
        </w:rPr>
        <w:t>: 10.1081/DMR-100100570.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 [Cross Ref]</w:t>
      </w:r>
      <w:r w:rsidRPr="00456432">
        <w:rPr>
          <w:rFonts w:asciiTheme="minorHAnsi" w:hAnsiTheme="minorHAnsi"/>
          <w:sz w:val="20"/>
          <w:szCs w:val="20"/>
          <w:bdr w:val="none" w:sz="0" w:space="0" w:color="auto" w:frame="1"/>
          <w:lang w:val="en-US"/>
        </w:rPr>
        <w:br/>
        <w:t xml:space="preserve">14. Gold LS, Slone TH, Ames BN. What do animal cancer tests tell us about human cancer risk?: Overview of analyses of the carcinogenic potency database. Drug </w:t>
      </w:r>
      <w:proofErr w:type="spellStart"/>
      <w:r w:rsidRPr="00456432">
        <w:rPr>
          <w:rFonts w:asciiTheme="minorHAnsi" w:hAnsiTheme="minorHAnsi"/>
          <w:sz w:val="20"/>
          <w:szCs w:val="20"/>
          <w:bdr w:val="none" w:sz="0" w:space="0" w:color="auto" w:frame="1"/>
          <w:lang w:val="en-US"/>
        </w:rPr>
        <w:t>Metab</w:t>
      </w:r>
      <w:proofErr w:type="spellEnd"/>
      <w:r w:rsidRPr="00456432">
        <w:rPr>
          <w:rFonts w:asciiTheme="minorHAnsi" w:hAnsiTheme="minorHAnsi"/>
          <w:sz w:val="20"/>
          <w:szCs w:val="20"/>
          <w:bdr w:val="none" w:sz="0" w:space="0" w:color="auto" w:frame="1"/>
          <w:lang w:val="en-US"/>
        </w:rPr>
        <w:t xml:space="preserve"> Rev. 1998;30:359–404. </w:t>
      </w:r>
      <w:proofErr w:type="spellStart"/>
      <w:r w:rsidRPr="00456432">
        <w:rPr>
          <w:rFonts w:asciiTheme="minorHAnsi" w:hAnsiTheme="minorHAnsi"/>
          <w:sz w:val="20"/>
          <w:szCs w:val="20"/>
          <w:bdr w:val="none" w:sz="0" w:space="0" w:color="auto" w:frame="1"/>
          <w:lang w:val="en-US"/>
        </w:rPr>
        <w:t>doi</w:t>
      </w:r>
      <w:proofErr w:type="spellEnd"/>
      <w:r w:rsidRPr="00456432">
        <w:rPr>
          <w:rFonts w:asciiTheme="minorHAnsi" w:hAnsiTheme="minorHAnsi"/>
          <w:sz w:val="20"/>
          <w:szCs w:val="20"/>
          <w:bdr w:val="none" w:sz="0" w:space="0" w:color="auto" w:frame="1"/>
          <w:lang w:val="en-US"/>
        </w:rPr>
        <w:t>: 10.3109/03602539808996318.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 [Cross Ref]</w:t>
      </w:r>
      <w:r w:rsidRPr="00456432">
        <w:rPr>
          <w:rFonts w:asciiTheme="minorHAnsi" w:hAnsiTheme="minorHAnsi"/>
          <w:sz w:val="20"/>
          <w:szCs w:val="20"/>
          <w:bdr w:val="none" w:sz="0" w:space="0" w:color="auto" w:frame="1"/>
          <w:lang w:val="en-US"/>
        </w:rPr>
        <w:br/>
        <w:t xml:space="preserve">15. Freeman M, St Johnston D. Wherefore DMM? Disease Models &amp; Mechanisms. 2008;1:6–7. </w:t>
      </w:r>
      <w:proofErr w:type="spellStart"/>
      <w:r w:rsidRPr="00456432">
        <w:rPr>
          <w:rFonts w:asciiTheme="minorHAnsi" w:hAnsiTheme="minorHAnsi"/>
          <w:sz w:val="20"/>
          <w:szCs w:val="20"/>
          <w:bdr w:val="none" w:sz="0" w:space="0" w:color="auto" w:frame="1"/>
          <w:lang w:val="en-US"/>
        </w:rPr>
        <w:t>doi</w:t>
      </w:r>
      <w:proofErr w:type="spellEnd"/>
      <w:r w:rsidRPr="00456432">
        <w:rPr>
          <w:rFonts w:asciiTheme="minorHAnsi" w:hAnsiTheme="minorHAnsi"/>
          <w:sz w:val="20"/>
          <w:szCs w:val="20"/>
          <w:bdr w:val="none" w:sz="0" w:space="0" w:color="auto" w:frame="1"/>
          <w:lang w:val="en-US"/>
        </w:rPr>
        <w:t>: 10.1242/dmm.000760. [</w:t>
      </w:r>
      <w:proofErr w:type="spellStart"/>
      <w:r w:rsidRPr="00456432">
        <w:rPr>
          <w:rFonts w:asciiTheme="minorHAnsi" w:hAnsiTheme="minorHAnsi"/>
          <w:sz w:val="20"/>
          <w:szCs w:val="20"/>
          <w:bdr w:val="none" w:sz="0" w:space="0" w:color="auto" w:frame="1"/>
          <w:lang w:val="en-US"/>
        </w:rPr>
        <w:t>PubMed</w:t>
      </w:r>
      <w:proofErr w:type="spellEnd"/>
      <w:r w:rsidRPr="00456432">
        <w:rPr>
          <w:rFonts w:asciiTheme="minorHAnsi" w:hAnsiTheme="minorHAnsi"/>
          <w:sz w:val="20"/>
          <w:szCs w:val="20"/>
          <w:bdr w:val="none" w:sz="0" w:space="0" w:color="auto" w:frame="1"/>
          <w:lang w:val="en-US"/>
        </w:rPr>
        <w:t>] [Cross Ref]</w:t>
      </w:r>
      <w:r w:rsidRPr="00456432">
        <w:rPr>
          <w:rFonts w:asciiTheme="minorHAnsi" w:hAnsiTheme="minorHAnsi"/>
          <w:sz w:val="20"/>
          <w:szCs w:val="20"/>
          <w:bdr w:val="none" w:sz="0" w:space="0" w:color="auto" w:frame="1"/>
          <w:lang w:val="en-US"/>
        </w:rPr>
        <w:br/>
        <w:t xml:space="preserve">16. </w:t>
      </w:r>
      <w:proofErr w:type="spellStart"/>
      <w:r w:rsidRPr="00456432">
        <w:rPr>
          <w:rFonts w:asciiTheme="minorHAnsi" w:hAnsiTheme="minorHAnsi"/>
          <w:sz w:val="20"/>
          <w:szCs w:val="20"/>
          <w:bdr w:val="none" w:sz="0" w:space="0" w:color="auto" w:frame="1"/>
          <w:lang w:val="en-US"/>
        </w:rPr>
        <w:t>Schardein</w:t>
      </w:r>
      <w:proofErr w:type="spellEnd"/>
      <w:r w:rsidRPr="00456432">
        <w:rPr>
          <w:rFonts w:asciiTheme="minorHAnsi" w:hAnsiTheme="minorHAnsi"/>
          <w:sz w:val="20"/>
          <w:szCs w:val="20"/>
          <w:bdr w:val="none" w:sz="0" w:space="0" w:color="auto" w:frame="1"/>
          <w:lang w:val="en-US"/>
        </w:rPr>
        <w:t xml:space="preserve"> J. Drugs as </w:t>
      </w:r>
      <w:proofErr w:type="spellStart"/>
      <w:r w:rsidRPr="00456432">
        <w:rPr>
          <w:rFonts w:asciiTheme="minorHAnsi" w:hAnsiTheme="minorHAnsi"/>
          <w:sz w:val="20"/>
          <w:szCs w:val="20"/>
          <w:bdr w:val="none" w:sz="0" w:space="0" w:color="auto" w:frame="1"/>
          <w:lang w:val="en-US"/>
        </w:rPr>
        <w:t>Teratogens</w:t>
      </w:r>
      <w:proofErr w:type="spellEnd"/>
      <w:r w:rsidRPr="00456432">
        <w:rPr>
          <w:rFonts w:asciiTheme="minorHAnsi" w:hAnsiTheme="minorHAnsi"/>
          <w:sz w:val="20"/>
          <w:szCs w:val="20"/>
          <w:bdr w:val="none" w:sz="0" w:space="0" w:color="auto" w:frame="1"/>
          <w:lang w:val="en-US"/>
        </w:rPr>
        <w:t>. CRC Press; 1976.</w:t>
      </w:r>
      <w:r w:rsidRPr="00456432">
        <w:rPr>
          <w:rFonts w:asciiTheme="minorHAnsi" w:hAnsiTheme="minorHAnsi"/>
          <w:sz w:val="20"/>
          <w:szCs w:val="20"/>
          <w:bdr w:val="none" w:sz="0" w:space="0" w:color="auto" w:frame="1"/>
          <w:lang w:val="en-US"/>
        </w:rPr>
        <w:br/>
        <w:t xml:space="preserve">17. </w:t>
      </w:r>
      <w:proofErr w:type="spellStart"/>
      <w:r w:rsidRPr="00456432">
        <w:rPr>
          <w:rFonts w:asciiTheme="minorHAnsi" w:hAnsiTheme="minorHAnsi"/>
          <w:sz w:val="20"/>
          <w:szCs w:val="20"/>
          <w:bdr w:val="none" w:sz="0" w:space="0" w:color="auto" w:frame="1"/>
          <w:lang w:val="en-US"/>
        </w:rPr>
        <w:t>Schardein</w:t>
      </w:r>
      <w:proofErr w:type="spellEnd"/>
      <w:r w:rsidRPr="00456432">
        <w:rPr>
          <w:rFonts w:asciiTheme="minorHAnsi" w:hAnsiTheme="minorHAnsi"/>
          <w:sz w:val="20"/>
          <w:szCs w:val="20"/>
          <w:bdr w:val="none" w:sz="0" w:space="0" w:color="auto" w:frame="1"/>
          <w:lang w:val="en-US"/>
        </w:rPr>
        <w:t xml:space="preserve"> J. Chemically Induced Birth Defects Marcel Dekker. 1985.</w:t>
      </w:r>
      <w:r w:rsidRPr="00456432">
        <w:rPr>
          <w:rFonts w:asciiTheme="minorHAnsi" w:hAnsiTheme="minorHAnsi"/>
          <w:sz w:val="20"/>
          <w:szCs w:val="20"/>
          <w:bdr w:val="none" w:sz="0" w:space="0" w:color="auto" w:frame="1"/>
          <w:lang w:val="en-US"/>
        </w:rPr>
        <w:br/>
        <w:t xml:space="preserve">18. Manson J, Wise D. </w:t>
      </w:r>
      <w:proofErr w:type="spellStart"/>
      <w:r w:rsidRPr="00456432">
        <w:rPr>
          <w:rFonts w:asciiTheme="minorHAnsi" w:hAnsiTheme="minorHAnsi"/>
          <w:sz w:val="20"/>
          <w:szCs w:val="20"/>
          <w:bdr w:val="none" w:sz="0" w:space="0" w:color="auto" w:frame="1"/>
          <w:lang w:val="en-US"/>
        </w:rPr>
        <w:t>Casarett</w:t>
      </w:r>
      <w:proofErr w:type="spellEnd"/>
      <w:r w:rsidRPr="00456432">
        <w:rPr>
          <w:rFonts w:asciiTheme="minorHAnsi" w:hAnsiTheme="minorHAnsi"/>
          <w:sz w:val="20"/>
          <w:szCs w:val="20"/>
          <w:bdr w:val="none" w:sz="0" w:space="0" w:color="auto" w:frame="1"/>
          <w:lang w:val="en-US"/>
        </w:rPr>
        <w:t xml:space="preserve"> and </w:t>
      </w:r>
      <w:proofErr w:type="spellStart"/>
      <w:r w:rsidRPr="00456432">
        <w:rPr>
          <w:rFonts w:asciiTheme="minorHAnsi" w:hAnsiTheme="minorHAnsi"/>
          <w:sz w:val="20"/>
          <w:szCs w:val="20"/>
          <w:bdr w:val="none" w:sz="0" w:space="0" w:color="auto" w:frame="1"/>
          <w:lang w:val="en-US"/>
        </w:rPr>
        <w:t>Doull’s</w:t>
      </w:r>
      <w:proofErr w:type="spellEnd"/>
      <w:r w:rsidRPr="00456432">
        <w:rPr>
          <w:rFonts w:asciiTheme="minorHAnsi" w:hAnsiTheme="minorHAnsi"/>
          <w:sz w:val="20"/>
          <w:szCs w:val="20"/>
          <w:bdr w:val="none" w:sz="0" w:space="0" w:color="auto" w:frame="1"/>
          <w:lang w:val="en-US"/>
        </w:rPr>
        <w:t xml:space="preserve"> Toxicology. 4. 1993. </w:t>
      </w:r>
      <w:proofErr w:type="spellStart"/>
      <w:r w:rsidRPr="00456432">
        <w:rPr>
          <w:rFonts w:asciiTheme="minorHAnsi" w:hAnsiTheme="minorHAnsi"/>
          <w:sz w:val="20"/>
          <w:szCs w:val="20"/>
          <w:bdr w:val="none" w:sz="0" w:space="0" w:color="auto" w:frame="1"/>
          <w:lang w:val="en-US"/>
        </w:rPr>
        <w:t>Teratogens</w:t>
      </w:r>
      <w:proofErr w:type="spellEnd"/>
      <w:r w:rsidRPr="00456432">
        <w:rPr>
          <w:rFonts w:asciiTheme="minorHAnsi" w:hAnsiTheme="minorHAnsi"/>
          <w:sz w:val="20"/>
          <w:szCs w:val="20"/>
          <w:bdr w:val="none" w:sz="0" w:space="0" w:color="auto" w:frame="1"/>
          <w:lang w:val="en-US"/>
        </w:rPr>
        <w:t>; p. 228.</w:t>
      </w:r>
      <w:r w:rsidRPr="00456432">
        <w:rPr>
          <w:rFonts w:asciiTheme="minorHAnsi" w:hAnsiTheme="minorHAnsi"/>
          <w:sz w:val="20"/>
          <w:szCs w:val="20"/>
          <w:bdr w:val="none" w:sz="0" w:space="0" w:color="auto" w:frame="1"/>
          <w:lang w:val="en-US"/>
        </w:rPr>
        <w:br/>
        <w:t xml:space="preserve">19. Caldwell J. Comparative Aspects of Detoxification in Mammals. In: </w:t>
      </w:r>
      <w:proofErr w:type="spellStart"/>
      <w:r w:rsidRPr="00456432">
        <w:rPr>
          <w:rFonts w:asciiTheme="minorHAnsi" w:hAnsiTheme="minorHAnsi"/>
          <w:sz w:val="20"/>
          <w:szCs w:val="20"/>
          <w:bdr w:val="none" w:sz="0" w:space="0" w:color="auto" w:frame="1"/>
          <w:lang w:val="en-US"/>
        </w:rPr>
        <w:t>Jakoby</w:t>
      </w:r>
      <w:proofErr w:type="spellEnd"/>
      <w:r w:rsidRPr="00456432">
        <w:rPr>
          <w:rFonts w:asciiTheme="minorHAnsi" w:hAnsiTheme="minorHAnsi"/>
          <w:sz w:val="20"/>
          <w:szCs w:val="20"/>
          <w:bdr w:val="none" w:sz="0" w:space="0" w:color="auto" w:frame="1"/>
          <w:lang w:val="en-US"/>
        </w:rPr>
        <w:t xml:space="preserve"> W, editor. Enzymatic Basis of Detoxification. Vol. 1. New York: Academic Press; 1980.</w:t>
      </w:r>
      <w:r w:rsidRPr="00456432">
        <w:rPr>
          <w:rFonts w:asciiTheme="minorHAnsi" w:hAnsiTheme="minorHAnsi"/>
          <w:sz w:val="20"/>
          <w:szCs w:val="20"/>
          <w:bdr w:val="none" w:sz="0" w:space="0" w:color="auto" w:frame="1"/>
          <w:lang w:val="en-US"/>
        </w:rPr>
        <w:br/>
        <w:t>20.</w:t>
      </w:r>
      <w:r w:rsidRPr="00456432">
        <w:rPr>
          <w:rStyle w:val="apple-converted-space"/>
          <w:rFonts w:asciiTheme="minorHAnsi" w:hAnsiTheme="minorHAnsi"/>
          <w:sz w:val="20"/>
          <w:szCs w:val="20"/>
          <w:bdr w:val="none" w:sz="0" w:space="0" w:color="auto" w:frame="1"/>
          <w:lang w:val="en-US"/>
        </w:rPr>
        <w:t> </w:t>
      </w:r>
      <w:hyperlink r:id="rId7" w:history="1">
        <w:r w:rsidRPr="00456432">
          <w:rPr>
            <w:rStyle w:val="Collegamentoipertestuale"/>
            <w:rFonts w:asciiTheme="minorHAnsi" w:hAnsiTheme="minorHAnsi"/>
            <w:color w:val="auto"/>
            <w:sz w:val="20"/>
            <w:szCs w:val="20"/>
            <w:bdr w:val="none" w:sz="0" w:space="0" w:color="auto" w:frame="1"/>
            <w:lang w:val="en-US"/>
          </w:rPr>
          <w:t>http://gastro.dom.uab.edu/Fellow_Articles/fellowsreadinglisthep/drug%20hepatotoxicity.pdf</w:t>
        </w:r>
      </w:hyperlink>
      <w:r w:rsidRPr="00456432">
        <w:rPr>
          <w:rFonts w:asciiTheme="minorHAnsi" w:hAnsiTheme="minorHAnsi"/>
          <w:sz w:val="20"/>
          <w:szCs w:val="20"/>
          <w:bdr w:val="none" w:sz="0" w:space="0" w:color="auto" w:frame="1"/>
          <w:lang w:val="en-US"/>
        </w:rPr>
        <w:br/>
        <w:t xml:space="preserve">21. Olson H, </w:t>
      </w:r>
      <w:proofErr w:type="spellStart"/>
      <w:r w:rsidRPr="00456432">
        <w:rPr>
          <w:rFonts w:asciiTheme="minorHAnsi" w:hAnsiTheme="minorHAnsi"/>
          <w:sz w:val="20"/>
          <w:szCs w:val="20"/>
          <w:bdr w:val="none" w:sz="0" w:space="0" w:color="auto" w:frame="1"/>
          <w:lang w:val="en-US"/>
        </w:rPr>
        <w:t>Betton</w:t>
      </w:r>
      <w:proofErr w:type="spellEnd"/>
      <w:r w:rsidRPr="00456432">
        <w:rPr>
          <w:rFonts w:asciiTheme="minorHAnsi" w:hAnsiTheme="minorHAnsi"/>
          <w:sz w:val="20"/>
          <w:szCs w:val="20"/>
          <w:bdr w:val="none" w:sz="0" w:space="0" w:color="auto" w:frame="1"/>
          <w:lang w:val="en-US"/>
        </w:rPr>
        <w:t xml:space="preserve"> G, Robinson D, Thomas K, </w:t>
      </w:r>
      <w:proofErr w:type="spellStart"/>
      <w:r w:rsidRPr="00456432">
        <w:rPr>
          <w:rFonts w:asciiTheme="minorHAnsi" w:hAnsiTheme="minorHAnsi"/>
          <w:sz w:val="20"/>
          <w:szCs w:val="20"/>
          <w:bdr w:val="none" w:sz="0" w:space="0" w:color="auto" w:frame="1"/>
          <w:lang w:val="en-US"/>
        </w:rPr>
        <w:t>Monro</w:t>
      </w:r>
      <w:proofErr w:type="spellEnd"/>
      <w:r w:rsidRPr="00456432">
        <w:rPr>
          <w:rFonts w:asciiTheme="minorHAnsi" w:hAnsiTheme="minorHAnsi"/>
          <w:sz w:val="20"/>
          <w:szCs w:val="20"/>
          <w:bdr w:val="none" w:sz="0" w:space="0" w:color="auto" w:frame="1"/>
          <w:lang w:val="en-US"/>
        </w:rPr>
        <w:t xml:space="preserve"> A, </w:t>
      </w:r>
      <w:proofErr w:type="spellStart"/>
      <w:r w:rsidRPr="00456432">
        <w:rPr>
          <w:rFonts w:asciiTheme="minorHAnsi" w:hAnsiTheme="minorHAnsi"/>
          <w:sz w:val="20"/>
          <w:szCs w:val="20"/>
          <w:bdr w:val="none" w:sz="0" w:space="0" w:color="auto" w:frame="1"/>
          <w:lang w:val="en-US"/>
        </w:rPr>
        <w:t>Kolaja</w:t>
      </w:r>
      <w:proofErr w:type="spellEnd"/>
      <w:r w:rsidRPr="00456432">
        <w:rPr>
          <w:rFonts w:asciiTheme="minorHAnsi" w:hAnsiTheme="minorHAnsi"/>
          <w:sz w:val="20"/>
          <w:szCs w:val="20"/>
          <w:bdr w:val="none" w:sz="0" w:space="0" w:color="auto" w:frame="1"/>
          <w:lang w:val="en-US"/>
        </w:rPr>
        <w:t xml:space="preserve"> G, Lilly P, Sanders J, </w:t>
      </w:r>
      <w:proofErr w:type="spellStart"/>
      <w:r w:rsidRPr="00456432">
        <w:rPr>
          <w:rFonts w:asciiTheme="minorHAnsi" w:hAnsiTheme="minorHAnsi"/>
          <w:sz w:val="20"/>
          <w:szCs w:val="20"/>
          <w:bdr w:val="none" w:sz="0" w:space="0" w:color="auto" w:frame="1"/>
          <w:lang w:val="en-US"/>
        </w:rPr>
        <w:t>Sipes</w:t>
      </w:r>
      <w:proofErr w:type="spellEnd"/>
      <w:r w:rsidRPr="00456432">
        <w:rPr>
          <w:rFonts w:asciiTheme="minorHAnsi" w:hAnsiTheme="minorHAnsi"/>
          <w:sz w:val="20"/>
          <w:szCs w:val="20"/>
          <w:bdr w:val="none" w:sz="0" w:space="0" w:color="auto" w:frame="1"/>
          <w:lang w:val="en-US"/>
        </w:rPr>
        <w:t xml:space="preserve"> G, Bracken W, </w:t>
      </w:r>
      <w:proofErr w:type="spellStart"/>
      <w:r w:rsidRPr="00456432">
        <w:rPr>
          <w:rFonts w:asciiTheme="minorHAnsi" w:hAnsiTheme="minorHAnsi"/>
          <w:sz w:val="20"/>
          <w:szCs w:val="20"/>
          <w:bdr w:val="none" w:sz="0" w:space="0" w:color="auto" w:frame="1"/>
          <w:lang w:val="en-US"/>
        </w:rPr>
        <w:t>Dorato</w:t>
      </w:r>
      <w:proofErr w:type="spellEnd"/>
      <w:r w:rsidRPr="00456432">
        <w:rPr>
          <w:rFonts w:asciiTheme="minorHAnsi" w:hAnsiTheme="minorHAnsi"/>
          <w:sz w:val="20"/>
          <w:szCs w:val="20"/>
          <w:bdr w:val="none" w:sz="0" w:space="0" w:color="auto" w:frame="1"/>
          <w:lang w:val="en-US"/>
        </w:rPr>
        <w:t xml:space="preserve"> M, Van </w:t>
      </w:r>
      <w:proofErr w:type="spellStart"/>
      <w:r w:rsidRPr="00456432">
        <w:rPr>
          <w:rFonts w:asciiTheme="minorHAnsi" w:hAnsiTheme="minorHAnsi"/>
          <w:sz w:val="20"/>
          <w:szCs w:val="20"/>
          <w:bdr w:val="none" w:sz="0" w:space="0" w:color="auto" w:frame="1"/>
          <w:lang w:val="en-US"/>
        </w:rPr>
        <w:t>Deun</w:t>
      </w:r>
      <w:proofErr w:type="spellEnd"/>
      <w:r w:rsidRPr="00456432">
        <w:rPr>
          <w:rFonts w:asciiTheme="minorHAnsi" w:hAnsiTheme="minorHAnsi"/>
          <w:sz w:val="20"/>
          <w:szCs w:val="20"/>
          <w:bdr w:val="none" w:sz="0" w:space="0" w:color="auto" w:frame="1"/>
          <w:lang w:val="en-US"/>
        </w:rPr>
        <w:t xml:space="preserve"> K, Smith P, Berger B, Heller A. Concordance of the toxicity of pharmaceuticals in humans and in animals. </w:t>
      </w:r>
      <w:proofErr w:type="spellStart"/>
      <w:r w:rsidRPr="00456432">
        <w:rPr>
          <w:rFonts w:asciiTheme="minorHAnsi" w:hAnsiTheme="minorHAnsi"/>
          <w:sz w:val="20"/>
          <w:szCs w:val="20"/>
          <w:bdr w:val="none" w:sz="0" w:space="0" w:color="auto" w:frame="1"/>
        </w:rPr>
        <w:t>Regul</w:t>
      </w:r>
      <w:proofErr w:type="spellEnd"/>
      <w:r w:rsidRPr="00456432">
        <w:rPr>
          <w:rFonts w:asciiTheme="minorHAnsi" w:hAnsiTheme="minorHAnsi"/>
          <w:sz w:val="20"/>
          <w:szCs w:val="20"/>
          <w:bdr w:val="none" w:sz="0" w:space="0" w:color="auto" w:frame="1"/>
        </w:rPr>
        <w:t xml:space="preserve"> </w:t>
      </w:r>
      <w:proofErr w:type="spellStart"/>
      <w:r w:rsidRPr="00456432">
        <w:rPr>
          <w:rFonts w:asciiTheme="minorHAnsi" w:hAnsiTheme="minorHAnsi"/>
          <w:sz w:val="20"/>
          <w:szCs w:val="20"/>
          <w:bdr w:val="none" w:sz="0" w:space="0" w:color="auto" w:frame="1"/>
        </w:rPr>
        <w:t>Toxicol</w:t>
      </w:r>
      <w:proofErr w:type="spellEnd"/>
      <w:r w:rsidRPr="00456432">
        <w:rPr>
          <w:rFonts w:asciiTheme="minorHAnsi" w:hAnsiTheme="minorHAnsi"/>
          <w:sz w:val="20"/>
          <w:szCs w:val="20"/>
          <w:bdr w:val="none" w:sz="0" w:space="0" w:color="auto" w:frame="1"/>
        </w:rPr>
        <w:t xml:space="preserve"> </w:t>
      </w:r>
      <w:proofErr w:type="spellStart"/>
      <w:r w:rsidRPr="00456432">
        <w:rPr>
          <w:rFonts w:asciiTheme="minorHAnsi" w:hAnsiTheme="minorHAnsi"/>
          <w:sz w:val="20"/>
          <w:szCs w:val="20"/>
          <w:bdr w:val="none" w:sz="0" w:space="0" w:color="auto" w:frame="1"/>
        </w:rPr>
        <w:t>Pharmacol</w:t>
      </w:r>
      <w:proofErr w:type="spellEnd"/>
      <w:r w:rsidRPr="00456432">
        <w:rPr>
          <w:rFonts w:asciiTheme="minorHAnsi" w:hAnsiTheme="minorHAnsi"/>
          <w:sz w:val="20"/>
          <w:szCs w:val="20"/>
          <w:bdr w:val="none" w:sz="0" w:space="0" w:color="auto" w:frame="1"/>
        </w:rPr>
        <w:t xml:space="preserve">. 2000;32:56–67. </w:t>
      </w:r>
      <w:proofErr w:type="spellStart"/>
      <w:r w:rsidRPr="00456432">
        <w:rPr>
          <w:rFonts w:asciiTheme="minorHAnsi" w:hAnsiTheme="minorHAnsi"/>
          <w:sz w:val="20"/>
          <w:szCs w:val="20"/>
          <w:bdr w:val="none" w:sz="0" w:space="0" w:color="auto" w:frame="1"/>
        </w:rPr>
        <w:t>doi</w:t>
      </w:r>
      <w:proofErr w:type="spellEnd"/>
      <w:r w:rsidRPr="00456432">
        <w:rPr>
          <w:rFonts w:asciiTheme="minorHAnsi" w:hAnsiTheme="minorHAnsi"/>
          <w:sz w:val="20"/>
          <w:szCs w:val="20"/>
          <w:bdr w:val="none" w:sz="0" w:space="0" w:color="auto" w:frame="1"/>
        </w:rPr>
        <w:t>: 10.1006/</w:t>
      </w:r>
      <w:proofErr w:type="spellStart"/>
      <w:r w:rsidRPr="00456432">
        <w:rPr>
          <w:rFonts w:asciiTheme="minorHAnsi" w:hAnsiTheme="minorHAnsi"/>
          <w:sz w:val="20"/>
          <w:szCs w:val="20"/>
          <w:bdr w:val="none" w:sz="0" w:space="0" w:color="auto" w:frame="1"/>
        </w:rPr>
        <w:t>rtph</w:t>
      </w:r>
      <w:proofErr w:type="spellEnd"/>
      <w:r w:rsidRPr="00456432">
        <w:rPr>
          <w:rFonts w:asciiTheme="minorHAnsi" w:hAnsiTheme="minorHAnsi"/>
          <w:sz w:val="20"/>
          <w:szCs w:val="20"/>
          <w:bdr w:val="none" w:sz="0" w:space="0" w:color="auto" w:frame="1"/>
        </w:rPr>
        <w:t>.2000.1399.</w:t>
      </w:r>
      <w:r w:rsidRPr="00456432">
        <w:rPr>
          <w:rFonts w:asciiTheme="minorHAnsi" w:hAnsiTheme="minorHAnsi"/>
          <w:sz w:val="20"/>
          <w:szCs w:val="20"/>
          <w:bdr w:val="none" w:sz="0" w:space="0" w:color="auto" w:frame="1"/>
        </w:rPr>
        <w:br/>
        <w:t>22.</w:t>
      </w:r>
      <w:r w:rsidRPr="00456432">
        <w:rPr>
          <w:rStyle w:val="apple-converted-space"/>
          <w:rFonts w:asciiTheme="minorHAnsi" w:hAnsiTheme="minorHAnsi"/>
          <w:sz w:val="20"/>
          <w:szCs w:val="20"/>
          <w:bdr w:val="none" w:sz="0" w:space="0" w:color="auto" w:frame="1"/>
        </w:rPr>
        <w:t> </w:t>
      </w:r>
      <w:hyperlink r:id="rId8" w:history="1">
        <w:r w:rsidRPr="00456432">
          <w:rPr>
            <w:rStyle w:val="Collegamentoipertestuale"/>
            <w:rFonts w:asciiTheme="minorHAnsi" w:hAnsiTheme="minorHAnsi"/>
            <w:color w:val="auto"/>
            <w:sz w:val="20"/>
            <w:szCs w:val="20"/>
            <w:bdr w:val="none" w:sz="0" w:space="0" w:color="auto" w:frame="1"/>
          </w:rPr>
          <w:t>http://tpx.sagepub.com/content/33/1/63.full.pdf+html</w:t>
        </w:r>
      </w:hyperlink>
      <w:r w:rsidRPr="00456432">
        <w:rPr>
          <w:rFonts w:asciiTheme="minorHAnsi" w:hAnsiTheme="minorHAnsi"/>
          <w:sz w:val="20"/>
          <w:szCs w:val="20"/>
          <w:bdr w:val="none" w:sz="0" w:space="0" w:color="auto" w:frame="1"/>
        </w:rPr>
        <w:br/>
        <w:t>23.</w:t>
      </w:r>
      <w:r w:rsidRPr="00456432">
        <w:rPr>
          <w:rStyle w:val="apple-converted-space"/>
          <w:rFonts w:asciiTheme="minorHAnsi" w:hAnsiTheme="minorHAnsi"/>
          <w:sz w:val="20"/>
          <w:szCs w:val="20"/>
          <w:bdr w:val="none" w:sz="0" w:space="0" w:color="auto" w:frame="1"/>
        </w:rPr>
        <w:t> </w:t>
      </w:r>
      <w:hyperlink r:id="rId9" w:history="1">
        <w:r w:rsidRPr="00456432">
          <w:rPr>
            <w:rStyle w:val="Collegamentoipertestuale"/>
            <w:rFonts w:asciiTheme="minorHAnsi" w:hAnsiTheme="minorHAnsi"/>
            <w:color w:val="auto"/>
            <w:sz w:val="20"/>
            <w:szCs w:val="20"/>
            <w:bdr w:val="none" w:sz="0" w:space="0" w:color="auto" w:frame="1"/>
          </w:rPr>
          <w:t>http://ijt.sagepub.com/content/20/3/161.short</w:t>
        </w:r>
      </w:hyperlink>
      <w:r w:rsidRPr="00456432">
        <w:rPr>
          <w:rFonts w:asciiTheme="minorHAnsi" w:hAnsiTheme="minorHAnsi"/>
          <w:sz w:val="20"/>
          <w:szCs w:val="20"/>
          <w:bdr w:val="none" w:sz="0" w:space="0" w:color="auto" w:frame="1"/>
        </w:rPr>
        <w:br/>
        <w:t>24.</w:t>
      </w:r>
      <w:r w:rsidRPr="00456432">
        <w:rPr>
          <w:rStyle w:val="apple-converted-space"/>
          <w:rFonts w:asciiTheme="minorHAnsi" w:hAnsiTheme="minorHAnsi"/>
          <w:sz w:val="20"/>
          <w:szCs w:val="20"/>
          <w:bdr w:val="none" w:sz="0" w:space="0" w:color="auto" w:frame="1"/>
        </w:rPr>
        <w:t> </w:t>
      </w:r>
      <w:hyperlink r:id="rId10" w:history="1">
        <w:r w:rsidRPr="00456432">
          <w:rPr>
            <w:rStyle w:val="Collegamentoipertestuale"/>
            <w:rFonts w:asciiTheme="minorHAnsi" w:hAnsiTheme="minorHAnsi"/>
            <w:color w:val="auto"/>
            <w:sz w:val="20"/>
            <w:szCs w:val="20"/>
            <w:bdr w:val="none" w:sz="0" w:space="0" w:color="auto" w:frame="1"/>
          </w:rPr>
          <w:t>http://dmd.aspetjournals.org/content/21/4/705.short</w:t>
        </w:r>
      </w:hyperlink>
      <w:r w:rsidRPr="00456432">
        <w:rPr>
          <w:rFonts w:asciiTheme="minorHAnsi" w:hAnsiTheme="minorHAnsi"/>
          <w:sz w:val="20"/>
          <w:szCs w:val="20"/>
          <w:bdr w:val="none" w:sz="0" w:space="0" w:color="auto" w:frame="1"/>
        </w:rPr>
        <w:br/>
        <w:t>25.</w:t>
      </w:r>
      <w:r w:rsidRPr="00456432">
        <w:rPr>
          <w:rStyle w:val="apple-converted-space"/>
          <w:rFonts w:asciiTheme="minorHAnsi" w:hAnsiTheme="minorHAnsi"/>
          <w:sz w:val="20"/>
          <w:szCs w:val="20"/>
          <w:bdr w:val="none" w:sz="0" w:space="0" w:color="auto" w:frame="1"/>
        </w:rPr>
        <w:t> </w:t>
      </w:r>
      <w:hyperlink r:id="rId11" w:history="1">
        <w:r w:rsidRPr="00456432">
          <w:rPr>
            <w:rStyle w:val="Collegamentoipertestuale"/>
            <w:rFonts w:asciiTheme="minorHAnsi" w:hAnsiTheme="minorHAnsi"/>
            <w:color w:val="auto"/>
            <w:sz w:val="20"/>
            <w:szCs w:val="20"/>
            <w:bdr w:val="none" w:sz="0" w:space="0" w:color="auto" w:frame="1"/>
          </w:rPr>
          <w:t>http://www.emea.europa.eu/docs/en_GB/document_library/Other/2009/12/WC500017982.pdf</w:t>
        </w:r>
      </w:hyperlink>
      <w:r w:rsidRPr="00456432">
        <w:rPr>
          <w:rFonts w:asciiTheme="minorHAnsi" w:hAnsiTheme="minorHAnsi"/>
          <w:sz w:val="20"/>
          <w:szCs w:val="20"/>
          <w:bdr w:val="none" w:sz="0" w:space="0" w:color="auto" w:frame="1"/>
        </w:rPr>
        <w:br/>
        <w:t>26.</w:t>
      </w:r>
      <w:r w:rsidRPr="00456432">
        <w:rPr>
          <w:rStyle w:val="apple-converted-space"/>
          <w:rFonts w:asciiTheme="minorHAnsi" w:hAnsiTheme="minorHAnsi"/>
          <w:sz w:val="20"/>
          <w:szCs w:val="20"/>
          <w:bdr w:val="none" w:sz="0" w:space="0" w:color="auto" w:frame="1"/>
        </w:rPr>
        <w:t> </w:t>
      </w:r>
      <w:hyperlink r:id="rId12" w:history="1">
        <w:r w:rsidRPr="00456432">
          <w:rPr>
            <w:rStyle w:val="Collegamentoipertestuale"/>
            <w:rFonts w:asciiTheme="minorHAnsi" w:hAnsiTheme="minorHAnsi"/>
            <w:color w:val="auto"/>
            <w:sz w:val="20"/>
            <w:szCs w:val="20"/>
            <w:bdr w:val="none" w:sz="0" w:space="0" w:color="auto" w:frame="1"/>
          </w:rPr>
          <w:t>http://www.thelancet.com/journals/lancet/article/PIIS0140-6736%2811%2960802-7/fulltext?version=printerFriendly</w:t>
        </w:r>
      </w:hyperlink>
    </w:p>
    <w:sectPr w:rsidR="008C1159" w:rsidRPr="00456432" w:rsidSect="009C15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1159"/>
    <w:rsid w:val="002467D3"/>
    <w:rsid w:val="00442E19"/>
    <w:rsid w:val="00456432"/>
    <w:rsid w:val="00556CB0"/>
    <w:rsid w:val="006063E5"/>
    <w:rsid w:val="008C1159"/>
    <w:rsid w:val="009C15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1159"/>
    <w:pPr>
      <w:spacing w:after="0" w:line="240" w:lineRule="auto"/>
    </w:pPr>
  </w:style>
  <w:style w:type="paragraph" w:styleId="Titolo1">
    <w:name w:val="heading 1"/>
    <w:basedOn w:val="Normale"/>
    <w:link w:val="Titolo1Carattere"/>
    <w:uiPriority w:val="9"/>
    <w:qFormat/>
    <w:rsid w:val="008C115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115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8C1159"/>
    <w:rPr>
      <w:color w:val="0000FF" w:themeColor="hyperlink"/>
      <w:u w:val="single"/>
    </w:rPr>
  </w:style>
  <w:style w:type="paragraph" w:styleId="NormaleWeb">
    <w:name w:val="Normal (Web)"/>
    <w:basedOn w:val="Normale"/>
    <w:uiPriority w:val="99"/>
    <w:semiHidden/>
    <w:unhideWhenUsed/>
    <w:rsid w:val="008C115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C1159"/>
  </w:style>
  <w:style w:type="character" w:styleId="Enfasigrassetto">
    <w:name w:val="Strong"/>
    <w:basedOn w:val="Carpredefinitoparagrafo"/>
    <w:uiPriority w:val="22"/>
    <w:qFormat/>
    <w:rsid w:val="008C1159"/>
    <w:rPr>
      <w:b/>
      <w:bCs/>
    </w:rPr>
  </w:style>
</w:styles>
</file>

<file path=word/webSettings.xml><?xml version="1.0" encoding="utf-8"?>
<w:webSettings xmlns:r="http://schemas.openxmlformats.org/officeDocument/2006/relationships" xmlns:w="http://schemas.openxmlformats.org/wordprocessingml/2006/main">
  <w:divs>
    <w:div w:id="5221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px.sagepub.com/content/33/1/63.full.pdf+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stro.dom.uab.edu/Fellow_Articles/fellowsreadinglisthep/drug%20hepatotoxicity.pdf" TargetMode="External"/><Relationship Id="rId12" Type="http://schemas.openxmlformats.org/officeDocument/2006/relationships/hyperlink" Target="http://www.thelancet.com/journals/lancet/article/PIIS0140-6736%2811%2960802-7/fulltext?version=printerFriend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ographs.iarc.fr/" TargetMode="External"/><Relationship Id="rId11" Type="http://schemas.openxmlformats.org/officeDocument/2006/relationships/hyperlink" Target="http://www.emea.europa.eu/docs/en_GB/document_library/Other/2009/12/WC500017982.pdf" TargetMode="External"/><Relationship Id="rId5" Type="http://schemas.openxmlformats.org/officeDocument/2006/relationships/hyperlink" Target="http://www.ncbi.nlm.nih.gov/pubmed/22769234" TargetMode="External"/><Relationship Id="rId10" Type="http://schemas.openxmlformats.org/officeDocument/2006/relationships/hyperlink" Target="http://dmd.aspetjournals.org/content/21/4/705.short" TargetMode="External"/><Relationship Id="rId4" Type="http://schemas.openxmlformats.org/officeDocument/2006/relationships/hyperlink" Target="http://savetheharlanbeagles.com/andre-menache-on-animal-testing/" TargetMode="External"/><Relationship Id="rId9" Type="http://schemas.openxmlformats.org/officeDocument/2006/relationships/hyperlink" Target="http://ijt.sagepub.com/content/20/3/161.shor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1538</Words>
  <Characters>8772</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4</cp:revision>
  <dcterms:created xsi:type="dcterms:W3CDTF">2013-04-16T05:48:00Z</dcterms:created>
  <dcterms:modified xsi:type="dcterms:W3CDTF">2013-04-16T05:54:00Z</dcterms:modified>
</cp:coreProperties>
</file>